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4E28B" w14:textId="5986707B" w:rsidR="009B4B3E" w:rsidRPr="00CE76DA" w:rsidRDefault="002E18DC" w:rsidP="00CE76DA">
      <w:pPr>
        <w:pStyle w:val="Title"/>
      </w:pPr>
      <w:r w:rsidRPr="00CE76DA">
        <w:t>Day and Employment Services Outcome Systems Report</w:t>
      </w:r>
    </w:p>
    <w:p w14:paraId="4B43D2AD" w14:textId="67E05A5F" w:rsidR="002E18DC" w:rsidRPr="00CD5B6A" w:rsidRDefault="002E18DC" w:rsidP="00CE76DA">
      <w:pPr>
        <w:pStyle w:val="Title"/>
      </w:pPr>
      <w:r w:rsidRPr="00CE76DA">
        <w:t>201</w:t>
      </w:r>
      <w:r w:rsidR="00855014" w:rsidRPr="00CE76DA">
        <w:t>9</w:t>
      </w:r>
    </w:p>
    <w:p w14:paraId="382660BB" w14:textId="77777777" w:rsidR="0057526E" w:rsidRDefault="0057526E">
      <w:pPr>
        <w:spacing w:after="0" w:line="240" w:lineRule="auto"/>
      </w:pPr>
      <w:r>
        <w:br w:type="page"/>
      </w:r>
    </w:p>
    <w:p w14:paraId="540B9625" w14:textId="3FFBC0F6" w:rsidR="00C34D7C" w:rsidRPr="001F0EF7" w:rsidRDefault="00C34D7C" w:rsidP="001F0EF7">
      <w:pPr>
        <w:pStyle w:val="Subtitle"/>
      </w:pPr>
      <w:r w:rsidRPr="001F0EF7">
        <w:lastRenderedPageBreak/>
        <w:t xml:space="preserve">A publication of the </w:t>
      </w:r>
    </w:p>
    <w:p w14:paraId="26BF3362" w14:textId="4070980F" w:rsidR="00C34D7C" w:rsidRPr="001F0EF7" w:rsidRDefault="00C34D7C" w:rsidP="001F0EF7">
      <w:pPr>
        <w:pStyle w:val="Subtitle"/>
      </w:pPr>
      <w:r w:rsidRPr="001F0EF7">
        <w:t>Indiana Institute on Disability and Community</w:t>
      </w:r>
      <w:r w:rsidR="001F0EF7">
        <w:t>,</w:t>
      </w:r>
      <w:r w:rsidR="001F0EF7" w:rsidRPr="001F0EF7">
        <w:br/>
      </w:r>
      <w:r w:rsidRPr="001F0EF7">
        <w:t>Indiana University</w:t>
      </w:r>
    </w:p>
    <w:p w14:paraId="0AFFC1F0" w14:textId="77777777" w:rsidR="001F0EF7" w:rsidRDefault="00152941" w:rsidP="00F524C7">
      <w:r w:rsidRPr="00F524C7">
        <w:t>© 201</w:t>
      </w:r>
      <w:r w:rsidR="003C69AD" w:rsidRPr="00F524C7">
        <w:t>9</w:t>
      </w:r>
      <w:r w:rsidRPr="00F524C7">
        <w:t xml:space="preserve"> Indiana Institute on Disability and Community</w:t>
      </w:r>
    </w:p>
    <w:p w14:paraId="654277BC" w14:textId="233C4AA7" w:rsidR="00152941" w:rsidRPr="00A60FF1" w:rsidRDefault="001F0EF7" w:rsidP="00F524C7">
      <w:pPr>
        <w:rPr>
          <w:rStyle w:val="Hyperlink"/>
        </w:rPr>
      </w:pPr>
      <w:r w:rsidRPr="00A60FF1">
        <w:rPr>
          <w:rStyle w:val="Hyperlink"/>
        </w:rPr>
        <w:t>iidc.indiana.edu</w:t>
      </w:r>
    </w:p>
    <w:p w14:paraId="26460B6D" w14:textId="41C97E0C" w:rsidR="00C34D7C" w:rsidRPr="00F524C7" w:rsidRDefault="0017694E" w:rsidP="00F524C7">
      <w:r w:rsidRPr="00F524C7">
        <w:rPr>
          <w:noProof/>
        </w:rPr>
        <w:drawing>
          <wp:inline distT="0" distB="0" distL="0" distR="0" wp14:anchorId="491143EE" wp14:editId="6290200C">
            <wp:extent cx="3424518" cy="486409"/>
            <wp:effectExtent l="0" t="0" r="5080" b="9525"/>
            <wp:docPr id="22" name="Picture 22" descr="Logo of the Indiana Institute on Disability and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IDC Logo - Horizontal 1 -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7872" cy="506771"/>
                    </a:xfrm>
                    <a:prstGeom prst="rect">
                      <a:avLst/>
                    </a:prstGeom>
                  </pic:spPr>
                </pic:pic>
              </a:graphicData>
            </a:graphic>
          </wp:inline>
        </w:drawing>
      </w:r>
    </w:p>
    <w:p w14:paraId="759F3C63" w14:textId="40635EAE" w:rsidR="0017694E" w:rsidRPr="00F524C7" w:rsidRDefault="0017694E" w:rsidP="00F524C7">
      <w:r w:rsidRPr="00F524C7">
        <w:t>The</w:t>
      </w:r>
      <w:r w:rsidR="00152941" w:rsidRPr="00F524C7">
        <w:t xml:space="preserve"> mission</w:t>
      </w:r>
      <w:r w:rsidRPr="00F524C7">
        <w:t xml:space="preserve"> of the Indiana Institute on Disability and Community (IIDC)</w:t>
      </w:r>
      <w:r w:rsidR="00152941" w:rsidRPr="00F524C7">
        <w:t xml:space="preserve"> is to work with communities to welcome, value, and support the meaningful participation of people of all ages and abilities through research, education, and service.</w:t>
      </w:r>
      <w:r w:rsidRPr="00F524C7">
        <w:t xml:space="preserve"> The Institute collaborates with community agencies, schools, advocacy organizations, government, institutions of higher education, and other community partners to effect improvements in quality of life. To accomplish this, our work is conducted through six Centers that address issues across the lifespan and major life areas.</w:t>
      </w:r>
    </w:p>
    <w:p w14:paraId="18ED8948" w14:textId="3642A523" w:rsidR="00C34D7C" w:rsidRPr="00F524C7" w:rsidRDefault="00C34D7C" w:rsidP="00F524C7">
      <w:r w:rsidRPr="00F524C7">
        <w:t>Author: Teresa Grossi, Ph.D.</w:t>
      </w:r>
      <w:r w:rsidR="00A60FF1">
        <w:br/>
      </w:r>
      <w:hyperlink r:id="rId9" w:history="1">
        <w:r w:rsidR="00266E68" w:rsidRPr="00F524C7">
          <w:rPr>
            <w:rStyle w:val="Hyperlink"/>
          </w:rPr>
          <w:t>tgrossi@indiana.edu</w:t>
        </w:r>
      </w:hyperlink>
    </w:p>
    <w:p w14:paraId="16D2B32C" w14:textId="4A78330D" w:rsidR="00C34D7C" w:rsidRPr="00F524C7" w:rsidRDefault="00C34D7C" w:rsidP="00F524C7">
      <w:r w:rsidRPr="00F524C7">
        <w:t>The Day and Employment Services Outcome System Report is submitted to the</w:t>
      </w:r>
    </w:p>
    <w:p w14:paraId="16FAE3BB" w14:textId="77777777" w:rsidR="003E0FAE" w:rsidRPr="00F524C7" w:rsidRDefault="003E0FAE" w:rsidP="00A60FF1">
      <w:pPr>
        <w:pStyle w:val="BulletList"/>
      </w:pPr>
      <w:r w:rsidRPr="00F524C7">
        <w:t>Bureau of Developmental Disabilities</w:t>
      </w:r>
    </w:p>
    <w:p w14:paraId="57E0679F" w14:textId="77777777" w:rsidR="00C34D7C" w:rsidRPr="00F524C7" w:rsidRDefault="00C34D7C" w:rsidP="00A60FF1">
      <w:pPr>
        <w:pStyle w:val="BulletList"/>
      </w:pPr>
      <w:r w:rsidRPr="00F524C7">
        <w:t>Bureau of Rehabilitation Services</w:t>
      </w:r>
    </w:p>
    <w:p w14:paraId="6D499EA6" w14:textId="77777777" w:rsidR="00C34D7C" w:rsidRPr="00F524C7" w:rsidRDefault="00C34D7C" w:rsidP="00A60FF1">
      <w:pPr>
        <w:pStyle w:val="BulletList"/>
      </w:pPr>
      <w:r w:rsidRPr="00F524C7">
        <w:t>Division of Disability and Rehabilitative Services</w:t>
      </w:r>
    </w:p>
    <w:p w14:paraId="65DD2682" w14:textId="309DCD75" w:rsidR="00E83526" w:rsidRPr="00F524C7" w:rsidRDefault="00C34D7C" w:rsidP="00A60FF1">
      <w:pPr>
        <w:pStyle w:val="BulletList"/>
      </w:pPr>
      <w:r w:rsidRPr="00F524C7">
        <w:t>Indiana Family and Social Services Administration</w:t>
      </w:r>
    </w:p>
    <w:p w14:paraId="2F251C11" w14:textId="4BB4144D" w:rsidR="00E83526" w:rsidRPr="00CE76DA" w:rsidRDefault="00CD5B6A" w:rsidP="00CE76DA">
      <w:r w:rsidRPr="00CD5B6A">
        <w:br w:type="page"/>
      </w:r>
      <w:r w:rsidR="00E83526" w:rsidRPr="00CE76DA">
        <w:lastRenderedPageBreak/>
        <w:t xml:space="preserve">Dear Colleagues, </w:t>
      </w:r>
    </w:p>
    <w:p w14:paraId="0539C4E8" w14:textId="33DB603B" w:rsidR="00E83526" w:rsidRPr="00CE76DA" w:rsidRDefault="00E83526" w:rsidP="00CE76DA">
      <w:r w:rsidRPr="00CE76DA">
        <w:t xml:space="preserve">The Day and Employment Services Outcome Systems (DESOS) data is submitted by Indiana disability service providers for each of the individuals they serve, rather than for aggregated program-level information. This report could not happen without the </w:t>
      </w:r>
      <w:r w:rsidR="00A9541F" w:rsidRPr="00CE76DA">
        <w:t xml:space="preserve">ongoing </w:t>
      </w:r>
      <w:r w:rsidRPr="00CE76DA">
        <w:t xml:space="preserve">support and the participation of the many providers who helped us create this report and for their suggestions, time, and most importantly, continued partnership. Many of the staff helped us problem-solve technical issues. </w:t>
      </w:r>
    </w:p>
    <w:p w14:paraId="03AAFCF2" w14:textId="6A012361" w:rsidR="00E83526" w:rsidRPr="00CE76DA" w:rsidRDefault="00E83526" w:rsidP="00CE76DA">
      <w:r w:rsidRPr="00CE76DA">
        <w:t>The primary objective of this report is to give providers, policy makers, and advocates insight as to where individuals spend their day and what this actually means for them. This year, the DESOS report is based upon data entered for 10,409 individuals receiving day and employment services from the 6</w:t>
      </w:r>
      <w:r w:rsidR="00001BF4" w:rsidRPr="00CE76DA">
        <w:t>6</w:t>
      </w:r>
      <w:r w:rsidRPr="00CE76DA">
        <w:t xml:space="preserve"> Indiana programs (7</w:t>
      </w:r>
      <w:r w:rsidR="00001BF4" w:rsidRPr="00CE76DA">
        <w:t>4</w:t>
      </w:r>
      <w:r w:rsidRPr="00CE76DA">
        <w:t>%) that participated this year. Eigh</w:t>
      </w:r>
      <w:r w:rsidR="00055FB9" w:rsidRPr="00CE76DA">
        <w:t>ty</w:t>
      </w:r>
      <w:r w:rsidRPr="00CE76DA">
        <w:t xml:space="preserve">-nine providers were verified as providing day and/or employment services through contracts with the Bureau of Developmental Disabilities Services and/or Vocational Rehabilitation Services. Data was entered by August 2019 on the status of the individual at the time of data entry. </w:t>
      </w:r>
      <w:r w:rsidR="00CD5B6A" w:rsidRPr="00CE76DA">
        <w:t>Page</w:t>
      </w:r>
      <w:r w:rsidRPr="00CE76DA">
        <w:t xml:space="preserve"> </w:t>
      </w:r>
      <w:r w:rsidR="00C468DA" w:rsidRPr="00CE76DA">
        <w:t>16</w:t>
      </w:r>
      <w:r w:rsidRPr="00CE76DA">
        <w:t xml:space="preserve"> at the end of this report </w:t>
      </w:r>
      <w:r w:rsidR="00CD5B6A" w:rsidRPr="00CE76DA">
        <w:t>is a</w:t>
      </w:r>
      <w:r w:rsidRPr="00CE76DA">
        <w:t xml:space="preserve"> list of providers participating in this year</w:t>
      </w:r>
      <w:r w:rsidR="00A9541F" w:rsidRPr="00CE76DA">
        <w:t>s’ report</w:t>
      </w:r>
      <w:r w:rsidR="00CE76DA" w:rsidRPr="00CE76DA">
        <w:t>.</w:t>
      </w:r>
    </w:p>
    <w:p w14:paraId="0AC507F5" w14:textId="77777777" w:rsidR="00CE76DA" w:rsidRPr="00CE76DA" w:rsidRDefault="00A9541F" w:rsidP="00CE76DA">
      <w:r w:rsidRPr="00CE76DA">
        <w:t>W</w:t>
      </w:r>
      <w:r w:rsidR="00E83526" w:rsidRPr="00CE76DA">
        <w:t xml:space="preserve">e </w:t>
      </w:r>
      <w:r w:rsidRPr="00CE76DA">
        <w:t xml:space="preserve">continue to </w:t>
      </w:r>
      <w:r w:rsidR="00E83526" w:rsidRPr="00CE76DA">
        <w:t xml:space="preserve">conduct </w:t>
      </w:r>
      <w:r w:rsidRPr="00CE76DA">
        <w:t>a yearly</w:t>
      </w:r>
      <w:r w:rsidR="00E83526" w:rsidRPr="00CE76DA">
        <w:t xml:space="preserve"> webinar to help new providers and individuals new to the data entry. Each provider has the capability of compiling their organization’s data report within the system</w:t>
      </w:r>
      <w:r w:rsidR="00CD5B6A" w:rsidRPr="00CE76DA">
        <w:t xml:space="preserve"> and compare to statewide data</w:t>
      </w:r>
      <w:r w:rsidR="00CE76DA" w:rsidRPr="00CE76DA">
        <w:t>.</w:t>
      </w:r>
    </w:p>
    <w:p w14:paraId="149E18DA" w14:textId="77777777" w:rsidR="00CE76DA" w:rsidRPr="00CE76DA" w:rsidRDefault="00300302" w:rsidP="00CE76DA">
      <w:r w:rsidRPr="00CE76DA">
        <w:t xml:space="preserve">The Workforce Innovation and Opportunity Act of 2014 (WIOA) was created to allow for flexibility across state and local systems to better address the employment and skills needs of employees and job seekers, including workers with disabilities as well as employers.  This legislation requires that Vocational Rehabilitation commit </w:t>
      </w:r>
      <w:r w:rsidR="00055FB9" w:rsidRPr="00CE76DA">
        <w:t>15</w:t>
      </w:r>
      <w:r w:rsidRPr="00CE76DA">
        <w:t xml:space="preserve"> percent of their funds to transition-age youth, ages 18-24. </w:t>
      </w:r>
      <w:r w:rsidR="00A9541F" w:rsidRPr="00CE76DA">
        <w:t xml:space="preserve"> On page </w:t>
      </w:r>
      <w:r w:rsidR="0048222E" w:rsidRPr="00CE76DA">
        <w:t>7</w:t>
      </w:r>
      <w:r w:rsidR="00A9541F" w:rsidRPr="00CE76DA">
        <w:t xml:space="preserve"> you will see an additional analysis based on ages</w:t>
      </w:r>
      <w:r w:rsidR="00001BF4" w:rsidRPr="00CE76DA">
        <w:t>, including transition-age youth</w:t>
      </w:r>
      <w:r w:rsidR="00A9541F" w:rsidRPr="00CE76DA">
        <w:t>.</w:t>
      </w:r>
    </w:p>
    <w:p w14:paraId="0B628FBB" w14:textId="11D54BAE" w:rsidR="00E83526" w:rsidRPr="00CE76DA" w:rsidRDefault="00CD5B6A" w:rsidP="00CE76DA">
      <w:r w:rsidRPr="00CE76DA">
        <w:t xml:space="preserve">The DESOS report is a compilation of the data by settings and outcomes. The first few pages are comparisons across settings, while the remainder of the report reflects the data for each setting. Statewide demographics can be found on page </w:t>
      </w:r>
      <w:r w:rsidR="0048222E" w:rsidRPr="00CE76DA">
        <w:t>15</w:t>
      </w:r>
      <w:r w:rsidRPr="00CE76DA">
        <w:t xml:space="preserve">.  </w:t>
      </w:r>
      <w:r w:rsidR="00E83526" w:rsidRPr="00CE76DA">
        <w:t>This report provides a snapshot of how individuals with intellectual and developmental disabilities as well as other disabilities spend their day, and together, how we improve the supports and services, a</w:t>
      </w:r>
      <w:r w:rsidR="00CE76DA" w:rsidRPr="00CE76DA">
        <w:t>nd ultimately outcomes for all.</w:t>
      </w:r>
    </w:p>
    <w:p w14:paraId="18DD6C74" w14:textId="307F0331" w:rsidR="00CD5B6A" w:rsidRPr="00CE76DA" w:rsidRDefault="00E83526" w:rsidP="00CE76DA">
      <w:pPr>
        <w:rPr>
          <w:rFonts w:eastAsia="Brush Script MT"/>
        </w:rPr>
      </w:pPr>
      <w:r w:rsidRPr="00CE76DA">
        <w:t>Thank you for your continued support!</w:t>
      </w:r>
    </w:p>
    <w:p w14:paraId="77752AF0" w14:textId="531E1B9C" w:rsidR="00847A00" w:rsidRPr="00CE76DA" w:rsidRDefault="00847A00" w:rsidP="00E83526">
      <w:pPr>
        <w:ind w:right="1260"/>
        <w:rPr>
          <w:rFonts w:ascii="Blackadder ITC" w:eastAsia="Brush Script MT" w:hAnsi="Blackadder ITC"/>
          <w:sz w:val="36"/>
          <w:szCs w:val="36"/>
        </w:rPr>
      </w:pPr>
      <w:r w:rsidRPr="00847A00">
        <w:rPr>
          <w:rFonts w:ascii="Blackadder ITC" w:eastAsia="Brush Script MT" w:hAnsi="Blackadder ITC"/>
          <w:sz w:val="36"/>
          <w:szCs w:val="36"/>
        </w:rPr>
        <w:t>Teresa Grossi</w:t>
      </w:r>
    </w:p>
    <w:p w14:paraId="3AF048C9" w14:textId="2FBE0205" w:rsidR="00E83526" w:rsidRPr="00F524C7" w:rsidRDefault="00E83526" w:rsidP="00F524C7">
      <w:pPr>
        <w:rPr>
          <w:rFonts w:eastAsia="Brush Script MT"/>
        </w:rPr>
      </w:pPr>
      <w:r w:rsidRPr="00F524C7">
        <w:rPr>
          <w:rFonts w:eastAsia="Brush Script MT"/>
        </w:rPr>
        <w:t>Teresa Grossi, Ph.D.</w:t>
      </w:r>
      <w:r w:rsidR="00F524C7">
        <w:rPr>
          <w:rFonts w:eastAsia="Brush Script MT"/>
        </w:rPr>
        <w:br/>
      </w:r>
      <w:r w:rsidRPr="00F524C7">
        <w:rPr>
          <w:rFonts w:eastAsia="Brush Script MT"/>
        </w:rPr>
        <w:t>Director of Strategic Developments</w:t>
      </w:r>
    </w:p>
    <w:p w14:paraId="00E02BA1" w14:textId="63C8DC88" w:rsidR="004D4F35" w:rsidRDefault="004D4F35" w:rsidP="00F42B14">
      <w:pPr>
        <w:pStyle w:val="Heading1"/>
      </w:pPr>
      <w:bookmarkStart w:id="0" w:name="_Toc39135168"/>
      <w:bookmarkStart w:id="1" w:name="_Toc39135697"/>
      <w:r w:rsidRPr="00F42B14">
        <w:lastRenderedPageBreak/>
        <w:t>Table of Contents</w:t>
      </w:r>
      <w:bookmarkEnd w:id="0"/>
      <w:bookmarkEnd w:id="1"/>
    </w:p>
    <w:sdt>
      <w:sdtPr>
        <w:id w:val="-653520455"/>
        <w:docPartObj>
          <w:docPartGallery w:val="Table of Contents"/>
          <w:docPartUnique/>
        </w:docPartObj>
      </w:sdtPr>
      <w:sdtEndPr>
        <w:rPr>
          <w:rFonts w:ascii="Garamond" w:eastAsia="Times New Roman" w:hAnsi="Garamond" w:cs="Times New Roman"/>
          <w:b/>
          <w:bCs/>
          <w:noProof/>
          <w:color w:val="auto"/>
          <w:sz w:val="26"/>
          <w:szCs w:val="24"/>
        </w:rPr>
      </w:sdtEndPr>
      <w:sdtContent>
        <w:p w14:paraId="68C18EC3" w14:textId="79C1C494" w:rsidR="00776B41" w:rsidRPr="005F6E5B" w:rsidRDefault="00776B41">
          <w:pPr>
            <w:pStyle w:val="TOCHeading"/>
          </w:pPr>
        </w:p>
        <w:p w14:paraId="396F2CCF" w14:textId="6596053D" w:rsidR="00C55EC0" w:rsidRDefault="005F6E5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9135697" w:history="1">
            <w:r w:rsidR="00C55EC0" w:rsidRPr="00773575">
              <w:rPr>
                <w:rStyle w:val="Hyperlink"/>
                <w:noProof/>
              </w:rPr>
              <w:t>Table of Contents</w:t>
            </w:r>
            <w:r w:rsidR="00C55EC0">
              <w:rPr>
                <w:noProof/>
                <w:webHidden/>
              </w:rPr>
              <w:tab/>
            </w:r>
            <w:r w:rsidR="00C55EC0">
              <w:rPr>
                <w:noProof/>
                <w:webHidden/>
              </w:rPr>
              <w:fldChar w:fldCharType="begin"/>
            </w:r>
            <w:r w:rsidR="00C55EC0">
              <w:rPr>
                <w:noProof/>
                <w:webHidden/>
              </w:rPr>
              <w:instrText xml:space="preserve"> PAGEREF _Toc39135697 \h </w:instrText>
            </w:r>
            <w:r w:rsidR="00C55EC0">
              <w:rPr>
                <w:noProof/>
                <w:webHidden/>
              </w:rPr>
            </w:r>
            <w:r w:rsidR="00C55EC0">
              <w:rPr>
                <w:noProof/>
                <w:webHidden/>
              </w:rPr>
              <w:fldChar w:fldCharType="separate"/>
            </w:r>
            <w:r w:rsidR="00615D94">
              <w:rPr>
                <w:noProof/>
                <w:webHidden/>
              </w:rPr>
              <w:t>4</w:t>
            </w:r>
            <w:r w:rsidR="00C55EC0">
              <w:rPr>
                <w:noProof/>
                <w:webHidden/>
              </w:rPr>
              <w:fldChar w:fldCharType="end"/>
            </w:r>
          </w:hyperlink>
        </w:p>
        <w:p w14:paraId="7916C12F" w14:textId="4FC6CD3B" w:rsidR="00C55EC0" w:rsidRDefault="00C55EC0">
          <w:pPr>
            <w:pStyle w:val="TOC1"/>
            <w:tabs>
              <w:tab w:val="right" w:leader="dot" w:pos="9350"/>
            </w:tabs>
            <w:rPr>
              <w:rFonts w:asciiTheme="minorHAnsi" w:eastAsiaTheme="minorEastAsia" w:hAnsiTheme="minorHAnsi" w:cstheme="minorBidi"/>
              <w:noProof/>
              <w:sz w:val="22"/>
              <w:szCs w:val="22"/>
            </w:rPr>
          </w:pPr>
          <w:hyperlink w:anchor="_Toc39135698" w:history="1">
            <w:r w:rsidRPr="00773575">
              <w:rPr>
                <w:rStyle w:val="Hyperlink"/>
                <w:noProof/>
              </w:rPr>
              <w:t>Definitions</w:t>
            </w:r>
            <w:r>
              <w:rPr>
                <w:noProof/>
                <w:webHidden/>
              </w:rPr>
              <w:tab/>
            </w:r>
            <w:r>
              <w:rPr>
                <w:noProof/>
                <w:webHidden/>
              </w:rPr>
              <w:fldChar w:fldCharType="begin"/>
            </w:r>
            <w:r>
              <w:rPr>
                <w:noProof/>
                <w:webHidden/>
              </w:rPr>
              <w:instrText xml:space="preserve"> PAGEREF _Toc39135698 \h </w:instrText>
            </w:r>
            <w:r>
              <w:rPr>
                <w:noProof/>
                <w:webHidden/>
              </w:rPr>
            </w:r>
            <w:r>
              <w:rPr>
                <w:noProof/>
                <w:webHidden/>
              </w:rPr>
              <w:fldChar w:fldCharType="separate"/>
            </w:r>
            <w:r w:rsidR="00615D94">
              <w:rPr>
                <w:noProof/>
                <w:webHidden/>
              </w:rPr>
              <w:t>5</w:t>
            </w:r>
            <w:r>
              <w:rPr>
                <w:noProof/>
                <w:webHidden/>
              </w:rPr>
              <w:fldChar w:fldCharType="end"/>
            </w:r>
          </w:hyperlink>
        </w:p>
        <w:p w14:paraId="78FE2CEB" w14:textId="044D0103" w:rsidR="00C55EC0" w:rsidRDefault="00C55EC0">
          <w:pPr>
            <w:pStyle w:val="TOC1"/>
            <w:tabs>
              <w:tab w:val="right" w:leader="dot" w:pos="9350"/>
            </w:tabs>
            <w:rPr>
              <w:rFonts w:asciiTheme="minorHAnsi" w:eastAsiaTheme="minorEastAsia" w:hAnsiTheme="minorHAnsi" w:cstheme="minorBidi"/>
              <w:noProof/>
              <w:sz w:val="22"/>
              <w:szCs w:val="22"/>
            </w:rPr>
          </w:pPr>
          <w:hyperlink w:anchor="_Toc39135699" w:history="1">
            <w:r w:rsidRPr="00773575">
              <w:rPr>
                <w:rStyle w:val="Hyperlink"/>
                <w:noProof/>
              </w:rPr>
              <w:t>Primary Environment or Setting</w:t>
            </w:r>
            <w:r>
              <w:rPr>
                <w:noProof/>
                <w:webHidden/>
              </w:rPr>
              <w:tab/>
            </w:r>
            <w:r>
              <w:rPr>
                <w:noProof/>
                <w:webHidden/>
              </w:rPr>
              <w:fldChar w:fldCharType="begin"/>
            </w:r>
            <w:r>
              <w:rPr>
                <w:noProof/>
                <w:webHidden/>
              </w:rPr>
              <w:instrText xml:space="preserve"> PAGEREF _Toc39135699 \h </w:instrText>
            </w:r>
            <w:r>
              <w:rPr>
                <w:noProof/>
                <w:webHidden/>
              </w:rPr>
            </w:r>
            <w:r>
              <w:rPr>
                <w:noProof/>
                <w:webHidden/>
              </w:rPr>
              <w:fldChar w:fldCharType="separate"/>
            </w:r>
            <w:r w:rsidR="00615D94">
              <w:rPr>
                <w:noProof/>
                <w:webHidden/>
              </w:rPr>
              <w:t>6</w:t>
            </w:r>
            <w:r>
              <w:rPr>
                <w:noProof/>
                <w:webHidden/>
              </w:rPr>
              <w:fldChar w:fldCharType="end"/>
            </w:r>
          </w:hyperlink>
        </w:p>
        <w:p w14:paraId="4A0E3585" w14:textId="5CE83607"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0" w:history="1">
            <w:r w:rsidRPr="00773575">
              <w:rPr>
                <w:rStyle w:val="Hyperlink"/>
                <w:noProof/>
              </w:rPr>
              <w:t>Primary Setting</w:t>
            </w:r>
            <w:r>
              <w:rPr>
                <w:noProof/>
                <w:webHidden/>
              </w:rPr>
              <w:tab/>
            </w:r>
            <w:r>
              <w:rPr>
                <w:noProof/>
                <w:webHidden/>
              </w:rPr>
              <w:fldChar w:fldCharType="begin"/>
            </w:r>
            <w:r>
              <w:rPr>
                <w:noProof/>
                <w:webHidden/>
              </w:rPr>
              <w:instrText xml:space="preserve"> PAGEREF _Toc39135700 \h </w:instrText>
            </w:r>
            <w:r>
              <w:rPr>
                <w:noProof/>
                <w:webHidden/>
              </w:rPr>
            </w:r>
            <w:r>
              <w:rPr>
                <w:noProof/>
                <w:webHidden/>
              </w:rPr>
              <w:fldChar w:fldCharType="separate"/>
            </w:r>
            <w:r w:rsidR="00615D94">
              <w:rPr>
                <w:noProof/>
                <w:webHidden/>
              </w:rPr>
              <w:t>6</w:t>
            </w:r>
            <w:r>
              <w:rPr>
                <w:noProof/>
                <w:webHidden/>
              </w:rPr>
              <w:fldChar w:fldCharType="end"/>
            </w:r>
          </w:hyperlink>
        </w:p>
        <w:p w14:paraId="1E281CCA" w14:textId="2B0C5A52"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1" w:history="1">
            <w:r w:rsidRPr="00773575">
              <w:rPr>
                <w:rStyle w:val="Hyperlink"/>
                <w:noProof/>
              </w:rPr>
              <w:t>Age and Primary Setting</w:t>
            </w:r>
            <w:r>
              <w:rPr>
                <w:noProof/>
                <w:webHidden/>
              </w:rPr>
              <w:tab/>
            </w:r>
            <w:r>
              <w:rPr>
                <w:noProof/>
                <w:webHidden/>
              </w:rPr>
              <w:fldChar w:fldCharType="begin"/>
            </w:r>
            <w:r>
              <w:rPr>
                <w:noProof/>
                <w:webHidden/>
              </w:rPr>
              <w:instrText xml:space="preserve"> PAGEREF _Toc39135701 \h </w:instrText>
            </w:r>
            <w:r>
              <w:rPr>
                <w:noProof/>
                <w:webHidden/>
              </w:rPr>
            </w:r>
            <w:r>
              <w:rPr>
                <w:noProof/>
                <w:webHidden/>
              </w:rPr>
              <w:fldChar w:fldCharType="separate"/>
            </w:r>
            <w:r w:rsidR="00615D94">
              <w:rPr>
                <w:noProof/>
                <w:webHidden/>
              </w:rPr>
              <w:t>7</w:t>
            </w:r>
            <w:r>
              <w:rPr>
                <w:noProof/>
                <w:webHidden/>
              </w:rPr>
              <w:fldChar w:fldCharType="end"/>
            </w:r>
          </w:hyperlink>
        </w:p>
        <w:p w14:paraId="03E53353" w14:textId="3AE3299B" w:rsidR="00C55EC0" w:rsidRDefault="00C55EC0">
          <w:pPr>
            <w:pStyle w:val="TOC1"/>
            <w:tabs>
              <w:tab w:val="right" w:leader="dot" w:pos="9350"/>
            </w:tabs>
            <w:rPr>
              <w:rFonts w:asciiTheme="minorHAnsi" w:eastAsiaTheme="minorEastAsia" w:hAnsiTheme="minorHAnsi" w:cstheme="minorBidi"/>
              <w:noProof/>
              <w:sz w:val="22"/>
              <w:szCs w:val="22"/>
            </w:rPr>
          </w:pPr>
          <w:hyperlink w:anchor="_Toc39135702" w:history="1">
            <w:r w:rsidRPr="00773575">
              <w:rPr>
                <w:rStyle w:val="Hyperlink"/>
                <w:noProof/>
              </w:rPr>
              <w:t>By The Setting . . . By The Age</w:t>
            </w:r>
            <w:r>
              <w:rPr>
                <w:noProof/>
                <w:webHidden/>
              </w:rPr>
              <w:tab/>
            </w:r>
            <w:r>
              <w:rPr>
                <w:noProof/>
                <w:webHidden/>
              </w:rPr>
              <w:fldChar w:fldCharType="begin"/>
            </w:r>
            <w:r>
              <w:rPr>
                <w:noProof/>
                <w:webHidden/>
              </w:rPr>
              <w:instrText xml:space="preserve"> PAGEREF _Toc39135702 \h </w:instrText>
            </w:r>
            <w:r>
              <w:rPr>
                <w:noProof/>
                <w:webHidden/>
              </w:rPr>
            </w:r>
            <w:r>
              <w:rPr>
                <w:noProof/>
                <w:webHidden/>
              </w:rPr>
              <w:fldChar w:fldCharType="separate"/>
            </w:r>
            <w:r w:rsidR="00615D94">
              <w:rPr>
                <w:noProof/>
                <w:webHidden/>
              </w:rPr>
              <w:t>9</w:t>
            </w:r>
            <w:r>
              <w:rPr>
                <w:noProof/>
                <w:webHidden/>
              </w:rPr>
              <w:fldChar w:fldCharType="end"/>
            </w:r>
          </w:hyperlink>
        </w:p>
        <w:p w14:paraId="0AEEA4A3" w14:textId="5BFF4A61"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3" w:history="1">
            <w:r w:rsidRPr="00773575">
              <w:rPr>
                <w:rStyle w:val="Hyperlink"/>
                <w:noProof/>
              </w:rPr>
              <w:t>Setting</w:t>
            </w:r>
            <w:r>
              <w:rPr>
                <w:noProof/>
                <w:webHidden/>
              </w:rPr>
              <w:tab/>
            </w:r>
            <w:r>
              <w:rPr>
                <w:noProof/>
                <w:webHidden/>
              </w:rPr>
              <w:fldChar w:fldCharType="begin"/>
            </w:r>
            <w:r>
              <w:rPr>
                <w:noProof/>
                <w:webHidden/>
              </w:rPr>
              <w:instrText xml:space="preserve"> PAGEREF _Toc39135703 \h </w:instrText>
            </w:r>
            <w:r>
              <w:rPr>
                <w:noProof/>
                <w:webHidden/>
              </w:rPr>
            </w:r>
            <w:r>
              <w:rPr>
                <w:noProof/>
                <w:webHidden/>
              </w:rPr>
              <w:fldChar w:fldCharType="separate"/>
            </w:r>
            <w:r w:rsidR="00615D94">
              <w:rPr>
                <w:noProof/>
                <w:webHidden/>
              </w:rPr>
              <w:t>9</w:t>
            </w:r>
            <w:r>
              <w:rPr>
                <w:noProof/>
                <w:webHidden/>
              </w:rPr>
              <w:fldChar w:fldCharType="end"/>
            </w:r>
          </w:hyperlink>
        </w:p>
        <w:p w14:paraId="002EBE83" w14:textId="7162EF71"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4" w:history="1">
            <w:r w:rsidRPr="00773575">
              <w:rPr>
                <w:rStyle w:val="Hyperlink"/>
                <w:noProof/>
              </w:rPr>
              <w:t>Hours Worked</w:t>
            </w:r>
            <w:r>
              <w:rPr>
                <w:noProof/>
                <w:webHidden/>
              </w:rPr>
              <w:tab/>
            </w:r>
            <w:r>
              <w:rPr>
                <w:noProof/>
                <w:webHidden/>
              </w:rPr>
              <w:fldChar w:fldCharType="begin"/>
            </w:r>
            <w:r>
              <w:rPr>
                <w:noProof/>
                <w:webHidden/>
              </w:rPr>
              <w:instrText xml:space="preserve"> PAGEREF _Toc39135704 \h </w:instrText>
            </w:r>
            <w:r>
              <w:rPr>
                <w:noProof/>
                <w:webHidden/>
              </w:rPr>
            </w:r>
            <w:r>
              <w:rPr>
                <w:noProof/>
                <w:webHidden/>
              </w:rPr>
              <w:fldChar w:fldCharType="separate"/>
            </w:r>
            <w:r w:rsidR="00615D94">
              <w:rPr>
                <w:noProof/>
                <w:webHidden/>
              </w:rPr>
              <w:t>9</w:t>
            </w:r>
            <w:r>
              <w:rPr>
                <w:noProof/>
                <w:webHidden/>
              </w:rPr>
              <w:fldChar w:fldCharType="end"/>
            </w:r>
          </w:hyperlink>
        </w:p>
        <w:p w14:paraId="1C4F4B09" w14:textId="466EE1EF"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5" w:history="1">
            <w:r w:rsidRPr="00773575">
              <w:rPr>
                <w:rStyle w:val="Hyperlink"/>
                <w:noProof/>
              </w:rPr>
              <w:t>Wages</w:t>
            </w:r>
            <w:r>
              <w:rPr>
                <w:noProof/>
                <w:webHidden/>
              </w:rPr>
              <w:tab/>
            </w:r>
            <w:r>
              <w:rPr>
                <w:noProof/>
                <w:webHidden/>
              </w:rPr>
              <w:fldChar w:fldCharType="begin"/>
            </w:r>
            <w:r>
              <w:rPr>
                <w:noProof/>
                <w:webHidden/>
              </w:rPr>
              <w:instrText xml:space="preserve"> PAGEREF _Toc39135705 \h </w:instrText>
            </w:r>
            <w:r>
              <w:rPr>
                <w:noProof/>
                <w:webHidden/>
              </w:rPr>
            </w:r>
            <w:r>
              <w:rPr>
                <w:noProof/>
                <w:webHidden/>
              </w:rPr>
              <w:fldChar w:fldCharType="separate"/>
            </w:r>
            <w:r w:rsidR="00615D94">
              <w:rPr>
                <w:noProof/>
                <w:webHidden/>
              </w:rPr>
              <w:t>9</w:t>
            </w:r>
            <w:r>
              <w:rPr>
                <w:noProof/>
                <w:webHidden/>
              </w:rPr>
              <w:fldChar w:fldCharType="end"/>
            </w:r>
          </w:hyperlink>
        </w:p>
        <w:p w14:paraId="28FE4887" w14:textId="3AD4921B" w:rsidR="00C55EC0" w:rsidRDefault="00C55EC0">
          <w:pPr>
            <w:pStyle w:val="TOC1"/>
            <w:tabs>
              <w:tab w:val="right" w:leader="dot" w:pos="9350"/>
            </w:tabs>
            <w:rPr>
              <w:rFonts w:asciiTheme="minorHAnsi" w:eastAsiaTheme="minorEastAsia" w:hAnsiTheme="minorHAnsi" w:cstheme="minorBidi"/>
              <w:noProof/>
              <w:sz w:val="22"/>
              <w:szCs w:val="22"/>
            </w:rPr>
          </w:pPr>
          <w:hyperlink w:anchor="_Toc39135706" w:history="1">
            <w:r w:rsidRPr="00773575">
              <w:rPr>
                <w:rStyle w:val="Hyperlink"/>
                <w:noProof/>
              </w:rPr>
              <w:t>By The Setting . . . By The Numbers</w:t>
            </w:r>
            <w:r>
              <w:rPr>
                <w:noProof/>
                <w:webHidden/>
              </w:rPr>
              <w:tab/>
            </w:r>
            <w:r>
              <w:rPr>
                <w:noProof/>
                <w:webHidden/>
              </w:rPr>
              <w:fldChar w:fldCharType="begin"/>
            </w:r>
            <w:r>
              <w:rPr>
                <w:noProof/>
                <w:webHidden/>
              </w:rPr>
              <w:instrText xml:space="preserve"> PAGEREF _Toc39135706 \h </w:instrText>
            </w:r>
            <w:r>
              <w:rPr>
                <w:noProof/>
                <w:webHidden/>
              </w:rPr>
            </w:r>
            <w:r>
              <w:rPr>
                <w:noProof/>
                <w:webHidden/>
              </w:rPr>
              <w:fldChar w:fldCharType="separate"/>
            </w:r>
            <w:r w:rsidR="00615D94">
              <w:rPr>
                <w:noProof/>
                <w:webHidden/>
              </w:rPr>
              <w:t>10</w:t>
            </w:r>
            <w:r>
              <w:rPr>
                <w:noProof/>
                <w:webHidden/>
              </w:rPr>
              <w:fldChar w:fldCharType="end"/>
            </w:r>
          </w:hyperlink>
        </w:p>
        <w:p w14:paraId="3E312402" w14:textId="00D50688"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7" w:history="1">
            <w:r w:rsidRPr="00773575">
              <w:rPr>
                <w:rStyle w:val="Hyperlink"/>
                <w:noProof/>
              </w:rPr>
              <w:t>Sheltered Workshop</w:t>
            </w:r>
            <w:r>
              <w:rPr>
                <w:noProof/>
                <w:webHidden/>
              </w:rPr>
              <w:tab/>
            </w:r>
            <w:r>
              <w:rPr>
                <w:noProof/>
                <w:webHidden/>
              </w:rPr>
              <w:fldChar w:fldCharType="begin"/>
            </w:r>
            <w:r>
              <w:rPr>
                <w:noProof/>
                <w:webHidden/>
              </w:rPr>
              <w:instrText xml:space="preserve"> PAGEREF _Toc39135707 \h </w:instrText>
            </w:r>
            <w:r>
              <w:rPr>
                <w:noProof/>
                <w:webHidden/>
              </w:rPr>
            </w:r>
            <w:r>
              <w:rPr>
                <w:noProof/>
                <w:webHidden/>
              </w:rPr>
              <w:fldChar w:fldCharType="separate"/>
            </w:r>
            <w:r w:rsidR="00615D94">
              <w:rPr>
                <w:noProof/>
                <w:webHidden/>
              </w:rPr>
              <w:t>10</w:t>
            </w:r>
            <w:r>
              <w:rPr>
                <w:noProof/>
                <w:webHidden/>
              </w:rPr>
              <w:fldChar w:fldCharType="end"/>
            </w:r>
          </w:hyperlink>
        </w:p>
        <w:p w14:paraId="7E3F26B5" w14:textId="4772D769"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8" w:history="1">
            <w:r w:rsidRPr="00773575">
              <w:rPr>
                <w:rStyle w:val="Hyperlink"/>
                <w:noProof/>
              </w:rPr>
              <w:t>Individual Jobs</w:t>
            </w:r>
            <w:r>
              <w:rPr>
                <w:noProof/>
                <w:webHidden/>
              </w:rPr>
              <w:tab/>
            </w:r>
            <w:r>
              <w:rPr>
                <w:noProof/>
                <w:webHidden/>
              </w:rPr>
              <w:fldChar w:fldCharType="begin"/>
            </w:r>
            <w:r>
              <w:rPr>
                <w:noProof/>
                <w:webHidden/>
              </w:rPr>
              <w:instrText xml:space="preserve"> PAGEREF _Toc39135708 \h </w:instrText>
            </w:r>
            <w:r>
              <w:rPr>
                <w:noProof/>
                <w:webHidden/>
              </w:rPr>
            </w:r>
            <w:r>
              <w:rPr>
                <w:noProof/>
                <w:webHidden/>
              </w:rPr>
              <w:fldChar w:fldCharType="separate"/>
            </w:r>
            <w:r w:rsidR="00615D94">
              <w:rPr>
                <w:noProof/>
                <w:webHidden/>
              </w:rPr>
              <w:t>12</w:t>
            </w:r>
            <w:r>
              <w:rPr>
                <w:noProof/>
                <w:webHidden/>
              </w:rPr>
              <w:fldChar w:fldCharType="end"/>
            </w:r>
          </w:hyperlink>
        </w:p>
        <w:p w14:paraId="57BCE09E" w14:textId="7DCAD2FD"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09" w:history="1">
            <w:r w:rsidRPr="00773575">
              <w:rPr>
                <w:rStyle w:val="Hyperlink"/>
                <w:noProof/>
              </w:rPr>
              <w:t>Off-Site Group Employment</w:t>
            </w:r>
            <w:r>
              <w:rPr>
                <w:noProof/>
                <w:webHidden/>
              </w:rPr>
              <w:tab/>
            </w:r>
            <w:r>
              <w:rPr>
                <w:noProof/>
                <w:webHidden/>
              </w:rPr>
              <w:fldChar w:fldCharType="begin"/>
            </w:r>
            <w:r>
              <w:rPr>
                <w:noProof/>
                <w:webHidden/>
              </w:rPr>
              <w:instrText xml:space="preserve"> PAGEREF _Toc39135709 \h </w:instrText>
            </w:r>
            <w:r>
              <w:rPr>
                <w:noProof/>
                <w:webHidden/>
              </w:rPr>
            </w:r>
            <w:r>
              <w:rPr>
                <w:noProof/>
                <w:webHidden/>
              </w:rPr>
              <w:fldChar w:fldCharType="separate"/>
            </w:r>
            <w:r w:rsidR="00615D94">
              <w:rPr>
                <w:noProof/>
                <w:webHidden/>
              </w:rPr>
              <w:t>14</w:t>
            </w:r>
            <w:r>
              <w:rPr>
                <w:noProof/>
                <w:webHidden/>
              </w:rPr>
              <w:fldChar w:fldCharType="end"/>
            </w:r>
          </w:hyperlink>
        </w:p>
        <w:p w14:paraId="0401F8C6" w14:textId="3BBA4117"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10" w:history="1">
            <w:r w:rsidRPr="00773575">
              <w:rPr>
                <w:rStyle w:val="Hyperlink"/>
                <w:noProof/>
              </w:rPr>
              <w:t>Non-Employment Day Program</w:t>
            </w:r>
            <w:r>
              <w:rPr>
                <w:noProof/>
                <w:webHidden/>
              </w:rPr>
              <w:tab/>
            </w:r>
            <w:r>
              <w:rPr>
                <w:noProof/>
                <w:webHidden/>
              </w:rPr>
              <w:fldChar w:fldCharType="begin"/>
            </w:r>
            <w:r>
              <w:rPr>
                <w:noProof/>
                <w:webHidden/>
              </w:rPr>
              <w:instrText xml:space="preserve"> PAGEREF _Toc39135710 \h </w:instrText>
            </w:r>
            <w:r>
              <w:rPr>
                <w:noProof/>
                <w:webHidden/>
              </w:rPr>
            </w:r>
            <w:r>
              <w:rPr>
                <w:noProof/>
                <w:webHidden/>
              </w:rPr>
              <w:fldChar w:fldCharType="separate"/>
            </w:r>
            <w:r w:rsidR="00615D94">
              <w:rPr>
                <w:noProof/>
                <w:webHidden/>
              </w:rPr>
              <w:t>16</w:t>
            </w:r>
            <w:r>
              <w:rPr>
                <w:noProof/>
                <w:webHidden/>
              </w:rPr>
              <w:fldChar w:fldCharType="end"/>
            </w:r>
          </w:hyperlink>
        </w:p>
        <w:p w14:paraId="5AB18292" w14:textId="42BB46BD" w:rsidR="00C55EC0" w:rsidRDefault="00C55EC0">
          <w:pPr>
            <w:pStyle w:val="TOC2"/>
            <w:tabs>
              <w:tab w:val="right" w:leader="dot" w:pos="9350"/>
            </w:tabs>
            <w:rPr>
              <w:rFonts w:asciiTheme="minorHAnsi" w:eastAsiaTheme="minorEastAsia" w:hAnsiTheme="minorHAnsi" w:cstheme="minorBidi"/>
              <w:noProof/>
              <w:sz w:val="22"/>
              <w:szCs w:val="22"/>
            </w:rPr>
          </w:pPr>
          <w:hyperlink w:anchor="_Toc39135711" w:history="1">
            <w:r w:rsidRPr="00773575">
              <w:rPr>
                <w:rStyle w:val="Hyperlink"/>
                <w:noProof/>
              </w:rPr>
              <w:t>Alternative to Employment (ATE)</w:t>
            </w:r>
            <w:r>
              <w:rPr>
                <w:noProof/>
                <w:webHidden/>
              </w:rPr>
              <w:tab/>
            </w:r>
            <w:r>
              <w:rPr>
                <w:noProof/>
                <w:webHidden/>
              </w:rPr>
              <w:fldChar w:fldCharType="begin"/>
            </w:r>
            <w:r>
              <w:rPr>
                <w:noProof/>
                <w:webHidden/>
              </w:rPr>
              <w:instrText xml:space="preserve"> PAGEREF _Toc39135711 \h </w:instrText>
            </w:r>
            <w:r>
              <w:rPr>
                <w:noProof/>
                <w:webHidden/>
              </w:rPr>
            </w:r>
            <w:r>
              <w:rPr>
                <w:noProof/>
                <w:webHidden/>
              </w:rPr>
              <w:fldChar w:fldCharType="separate"/>
            </w:r>
            <w:r w:rsidR="00615D94">
              <w:rPr>
                <w:noProof/>
                <w:webHidden/>
              </w:rPr>
              <w:t>17</w:t>
            </w:r>
            <w:r>
              <w:rPr>
                <w:noProof/>
                <w:webHidden/>
              </w:rPr>
              <w:fldChar w:fldCharType="end"/>
            </w:r>
          </w:hyperlink>
        </w:p>
        <w:p w14:paraId="66EAEF2E" w14:textId="78F2DF8C" w:rsidR="00C55EC0" w:rsidRDefault="00C55EC0">
          <w:pPr>
            <w:pStyle w:val="TOC1"/>
            <w:tabs>
              <w:tab w:val="right" w:leader="dot" w:pos="9350"/>
            </w:tabs>
            <w:rPr>
              <w:rFonts w:asciiTheme="minorHAnsi" w:eastAsiaTheme="minorEastAsia" w:hAnsiTheme="minorHAnsi" w:cstheme="minorBidi"/>
              <w:noProof/>
              <w:sz w:val="22"/>
              <w:szCs w:val="22"/>
            </w:rPr>
          </w:pPr>
          <w:hyperlink w:anchor="_Toc39135712" w:history="1">
            <w:r w:rsidRPr="00773575">
              <w:rPr>
                <w:rStyle w:val="Hyperlink"/>
                <w:noProof/>
              </w:rPr>
              <w:t>Statewide Demographics</w:t>
            </w:r>
            <w:r>
              <w:rPr>
                <w:noProof/>
                <w:webHidden/>
              </w:rPr>
              <w:tab/>
            </w:r>
            <w:r>
              <w:rPr>
                <w:noProof/>
                <w:webHidden/>
              </w:rPr>
              <w:fldChar w:fldCharType="begin"/>
            </w:r>
            <w:r>
              <w:rPr>
                <w:noProof/>
                <w:webHidden/>
              </w:rPr>
              <w:instrText xml:space="preserve"> PAGEREF _Toc39135712 \h </w:instrText>
            </w:r>
            <w:r>
              <w:rPr>
                <w:noProof/>
                <w:webHidden/>
              </w:rPr>
            </w:r>
            <w:r>
              <w:rPr>
                <w:noProof/>
                <w:webHidden/>
              </w:rPr>
              <w:fldChar w:fldCharType="separate"/>
            </w:r>
            <w:r w:rsidR="00615D94">
              <w:rPr>
                <w:noProof/>
                <w:webHidden/>
              </w:rPr>
              <w:t>18</w:t>
            </w:r>
            <w:r>
              <w:rPr>
                <w:noProof/>
                <w:webHidden/>
              </w:rPr>
              <w:fldChar w:fldCharType="end"/>
            </w:r>
          </w:hyperlink>
        </w:p>
        <w:p w14:paraId="5DE6B73D" w14:textId="253A5D60" w:rsidR="00C55EC0" w:rsidRDefault="00C55EC0">
          <w:pPr>
            <w:pStyle w:val="TOC1"/>
            <w:tabs>
              <w:tab w:val="right" w:leader="dot" w:pos="9350"/>
            </w:tabs>
            <w:rPr>
              <w:rFonts w:asciiTheme="minorHAnsi" w:eastAsiaTheme="minorEastAsia" w:hAnsiTheme="minorHAnsi" w:cstheme="minorBidi"/>
              <w:noProof/>
              <w:sz w:val="22"/>
              <w:szCs w:val="22"/>
            </w:rPr>
          </w:pPr>
          <w:hyperlink w:anchor="_Toc39135713" w:history="1">
            <w:r w:rsidRPr="00773575">
              <w:rPr>
                <w:rStyle w:val="Hyperlink"/>
                <w:noProof/>
              </w:rPr>
              <w:t>Program Participants</w:t>
            </w:r>
            <w:r>
              <w:rPr>
                <w:noProof/>
                <w:webHidden/>
              </w:rPr>
              <w:tab/>
            </w:r>
            <w:r>
              <w:rPr>
                <w:noProof/>
                <w:webHidden/>
              </w:rPr>
              <w:fldChar w:fldCharType="begin"/>
            </w:r>
            <w:r>
              <w:rPr>
                <w:noProof/>
                <w:webHidden/>
              </w:rPr>
              <w:instrText xml:space="preserve"> PAGEREF _Toc39135713 \h </w:instrText>
            </w:r>
            <w:r>
              <w:rPr>
                <w:noProof/>
                <w:webHidden/>
              </w:rPr>
            </w:r>
            <w:r>
              <w:rPr>
                <w:noProof/>
                <w:webHidden/>
              </w:rPr>
              <w:fldChar w:fldCharType="separate"/>
            </w:r>
            <w:r w:rsidR="00615D94">
              <w:rPr>
                <w:noProof/>
                <w:webHidden/>
              </w:rPr>
              <w:t>19</w:t>
            </w:r>
            <w:r>
              <w:rPr>
                <w:noProof/>
                <w:webHidden/>
              </w:rPr>
              <w:fldChar w:fldCharType="end"/>
            </w:r>
          </w:hyperlink>
        </w:p>
        <w:p w14:paraId="648EAC6C" w14:textId="5F076309" w:rsidR="00776B41" w:rsidRDefault="005F6E5B">
          <w:r>
            <w:fldChar w:fldCharType="end"/>
          </w:r>
        </w:p>
      </w:sdtContent>
    </w:sdt>
    <w:p w14:paraId="5BD2C3F8" w14:textId="77777777" w:rsidR="00E83526" w:rsidRPr="00CE76DA" w:rsidRDefault="00E83526" w:rsidP="00F42B14">
      <w:pPr>
        <w:pStyle w:val="Heading1"/>
      </w:pPr>
      <w:bookmarkStart w:id="2" w:name="_Toc39135698"/>
      <w:r w:rsidRPr="00CE76DA">
        <w:lastRenderedPageBreak/>
        <w:t>Definitions</w:t>
      </w:r>
      <w:bookmarkEnd w:id="2"/>
    </w:p>
    <w:p w14:paraId="19C3E30A" w14:textId="77777777" w:rsidR="00E83526" w:rsidRPr="00F524C7" w:rsidRDefault="00E83526" w:rsidP="00F524C7">
      <w:pPr>
        <w:pStyle w:val="ListParagraph"/>
      </w:pPr>
      <w:r w:rsidRPr="00F524C7">
        <w:t>Sheltered employment – facility-based employment where work-oriented services are provided by people with disabilities. Majority of people working there are people with disabilities.</w:t>
      </w:r>
    </w:p>
    <w:p w14:paraId="43FB85A4" w14:textId="09BD817D" w:rsidR="00E83526" w:rsidRPr="00F524C7" w:rsidRDefault="00E83526" w:rsidP="00F524C7">
      <w:pPr>
        <w:pStyle w:val="ListParagraph"/>
      </w:pPr>
      <w:r w:rsidRPr="00F524C7">
        <w:t>Off-site group employment placement – (a.k.a., community-based sheltered employment) employment as a member of a group of eight or fewer individuals with disabilities perform work and receive ongoing supervision while on the job within a local business or as part of a mobile crew which moves from contract site to contract site performing services.</w:t>
      </w:r>
    </w:p>
    <w:p w14:paraId="53F170A3" w14:textId="77777777" w:rsidR="00E83526" w:rsidRPr="00F524C7" w:rsidRDefault="00E83526" w:rsidP="00F524C7">
      <w:pPr>
        <w:pStyle w:val="ListParagraph"/>
      </w:pPr>
      <w:r w:rsidRPr="00F524C7">
        <w:t xml:space="preserve">Individual competitive job - individual performs work tasks in a local business or industry alongside nondisabled coworkers. Individuals are paid the prevailing wage by the employer. </w:t>
      </w:r>
    </w:p>
    <w:p w14:paraId="371A14A2" w14:textId="77777777" w:rsidR="00E83526" w:rsidRPr="00F524C7" w:rsidRDefault="00E83526" w:rsidP="00F524C7">
      <w:pPr>
        <w:pStyle w:val="ListParagraph"/>
      </w:pPr>
      <w:r w:rsidRPr="00F524C7">
        <w:t>Self-employed – individual operates his or her own business to perform a paid service or produce a marketable item.</w:t>
      </w:r>
    </w:p>
    <w:p w14:paraId="66DBD76D" w14:textId="77777777" w:rsidR="00E83526" w:rsidRPr="00F524C7" w:rsidRDefault="00E83526" w:rsidP="00F524C7">
      <w:pPr>
        <w:pStyle w:val="ListParagraph"/>
      </w:pPr>
      <w:r w:rsidRPr="00F524C7">
        <w:t>Non-employment day program – facility-based services with emphasis on teaching daily living skills where individuals are engaged in non-work activities.</w:t>
      </w:r>
    </w:p>
    <w:p w14:paraId="4386F6AB" w14:textId="77777777" w:rsidR="00E83526" w:rsidRPr="00F524C7" w:rsidRDefault="00E83526" w:rsidP="00F524C7">
      <w:pPr>
        <w:pStyle w:val="ListParagraph"/>
      </w:pPr>
      <w:r w:rsidRPr="00F524C7">
        <w:t>Alternative to employment (ATE) – individuals are spending most of their day based on one of the following choices:</w:t>
      </w:r>
    </w:p>
    <w:p w14:paraId="10549137" w14:textId="77777777" w:rsidR="00E83526" w:rsidRPr="00F524C7" w:rsidRDefault="00E83526" w:rsidP="00F524C7">
      <w:pPr>
        <w:pStyle w:val="ListParagraph"/>
        <w:numPr>
          <w:ilvl w:val="1"/>
          <w:numId w:val="8"/>
        </w:numPr>
      </w:pPr>
      <w:r w:rsidRPr="00F524C7">
        <w:t>Choice – the individual chooses not to receive community employment or facility-based services</w:t>
      </w:r>
    </w:p>
    <w:p w14:paraId="175393F8" w14:textId="7BC5379D" w:rsidR="00E83526" w:rsidRPr="00F524C7" w:rsidRDefault="00C91779" w:rsidP="00F524C7">
      <w:pPr>
        <w:pStyle w:val="ListParagraph"/>
        <w:numPr>
          <w:ilvl w:val="1"/>
          <w:numId w:val="8"/>
        </w:numPr>
      </w:pPr>
      <w:r w:rsidRPr="00F524C7">
        <w:t>Community access – the individual spends most of their time accessing community resources and services (e.g., swimming at the local community center, therapeutic horseback riding, taking a computer class at the local college, going to bank)</w:t>
      </w:r>
    </w:p>
    <w:p w14:paraId="2678CC41" w14:textId="552D28F9" w:rsidR="00E83526" w:rsidRPr="00F524C7" w:rsidRDefault="00E83526" w:rsidP="00F524C7">
      <w:pPr>
        <w:pStyle w:val="ListParagraph"/>
        <w:numPr>
          <w:ilvl w:val="1"/>
          <w:numId w:val="8"/>
        </w:numPr>
      </w:pPr>
      <w:r w:rsidRPr="00F524C7">
        <w:t>Looking for job – the individual is receiving pre-placement services (e.g., community-based vocational assessment, Discovery activities, job development services)</w:t>
      </w:r>
    </w:p>
    <w:p w14:paraId="26FC7BEA" w14:textId="6C1947CB" w:rsidR="00C91779" w:rsidRPr="00F524C7" w:rsidRDefault="00C91779" w:rsidP="00F524C7">
      <w:pPr>
        <w:pStyle w:val="ListParagraph"/>
        <w:numPr>
          <w:ilvl w:val="1"/>
          <w:numId w:val="8"/>
        </w:numPr>
      </w:pPr>
      <w:r w:rsidRPr="00F524C7">
        <w:t>Retired – the individual considers himself/herself to be retired from work and is not interested in employment</w:t>
      </w:r>
    </w:p>
    <w:p w14:paraId="3F2A81A6" w14:textId="77777777" w:rsidR="00C91779" w:rsidRPr="00F524C7" w:rsidRDefault="00C91779" w:rsidP="00F524C7">
      <w:pPr>
        <w:pStyle w:val="ListParagraph"/>
        <w:numPr>
          <w:ilvl w:val="1"/>
          <w:numId w:val="8"/>
        </w:numPr>
      </w:pPr>
      <w:r w:rsidRPr="00F524C7">
        <w:t xml:space="preserve">Volunteer – the individual chooses to volunteer time without pay to engage in activities of assistance to others. </w:t>
      </w:r>
    </w:p>
    <w:p w14:paraId="76540410" w14:textId="77777777" w:rsidR="00CE76DA" w:rsidRPr="00CE76DA" w:rsidRDefault="00CE76DA" w:rsidP="00F42B14">
      <w:pPr>
        <w:pStyle w:val="Heading1"/>
      </w:pPr>
      <w:bookmarkStart w:id="3" w:name="_Toc39135699"/>
      <w:r w:rsidRPr="00CE76DA">
        <w:lastRenderedPageBreak/>
        <w:t>Primary Environment or Setting</w:t>
      </w:r>
      <w:bookmarkEnd w:id="3"/>
    </w:p>
    <w:p w14:paraId="211202E2" w14:textId="31D1FE88" w:rsidR="00581975" w:rsidRDefault="00CE76DA" w:rsidP="00CE76DA">
      <w:r w:rsidRPr="00CE76DA">
        <w:t>Individuals spend the majority of their day in a variety of settings. This information is based on 10,409 individuals across six settings where most people are in n</w:t>
      </w:r>
      <w:r w:rsidR="00776B41">
        <w:t>onemployment day programs (32%).</w:t>
      </w:r>
    </w:p>
    <w:p w14:paraId="601E7627" w14:textId="222582FB" w:rsidR="00024152" w:rsidRPr="00CE76DA" w:rsidRDefault="00024152" w:rsidP="00024152">
      <w:pPr>
        <w:pStyle w:val="Heading2"/>
      </w:pPr>
      <w:bookmarkStart w:id="4" w:name="_Toc39135700"/>
      <w:r>
        <w:t>Primary Setting</w:t>
      </w:r>
      <w:bookmarkEnd w:id="4"/>
    </w:p>
    <w:p w14:paraId="03FFAB67" w14:textId="34D6EB77" w:rsidR="00870ADB" w:rsidRPr="00CE76DA" w:rsidRDefault="00FB6F56" w:rsidP="00776B41">
      <w:r w:rsidRPr="00CE76DA">
        <w:t>Alternatives to Employment had 1,977 individuals or 19% of all individuals; Non-employment day program had 3,378 individuals or 32%; Self-employment had only 2 individuals; Off-site group employment had 141 individuals or 1%; Sheltered employment had 2,614 individuals or 25%; and individual jobs had 2,297</w:t>
      </w:r>
      <w:r w:rsidR="00CE76DA">
        <w:t xml:space="preserve"> </w:t>
      </w:r>
      <w:r w:rsidRPr="00CE76DA">
        <w:t>or 22%.</w:t>
      </w:r>
    </w:p>
    <w:p w14:paraId="38E805DC" w14:textId="0B2542C5" w:rsidR="00E971C5" w:rsidRDefault="00776B41" w:rsidP="00776B41">
      <w:r>
        <w:t>Over time,</w:t>
      </w:r>
      <w:r w:rsidR="00FB6F56" w:rsidRPr="00C91779">
        <w:t xml:space="preserve"> sheltered employment had remained stable; Individual jobs have fluctuated somewhat with a peak in 2017</w:t>
      </w:r>
      <w:r w:rsidR="00BB7A7E" w:rsidRPr="00C91779">
        <w:t xml:space="preserve"> and decrease in 2019</w:t>
      </w:r>
      <w:r w:rsidR="00FB6F56" w:rsidRPr="00C91779">
        <w:t>; Non-employment day programs had risen over the 5 years</w:t>
      </w:r>
      <w:r w:rsidR="00BB7A7E" w:rsidRPr="00C91779">
        <w:t xml:space="preserve"> with the highest in 2019;</w:t>
      </w:r>
      <w:r w:rsidR="00FB6F56" w:rsidRPr="00C91779">
        <w:t xml:space="preserve"> and alternatives to employment had decreased.</w:t>
      </w:r>
    </w:p>
    <w:p w14:paraId="2D601B19" w14:textId="4F8FB555" w:rsidR="0097437B" w:rsidRPr="004F5A6C" w:rsidRDefault="00870ADB" w:rsidP="00024152">
      <w:pPr>
        <w:pStyle w:val="Heading3"/>
      </w:pPr>
      <w:r>
        <w:t xml:space="preserve">Table 1. </w:t>
      </w:r>
      <w:r w:rsidR="0000320E">
        <w:t xml:space="preserve">Average </w:t>
      </w:r>
      <w:r w:rsidR="0097437B" w:rsidRPr="004F5A6C">
        <w:t>Hours</w:t>
      </w:r>
      <w:r w:rsidR="00D11AB1" w:rsidRPr="004F5A6C">
        <w:t xml:space="preserve"> Worked</w:t>
      </w:r>
      <w:r w:rsidR="0097437B" w:rsidRPr="004F5A6C">
        <w:t xml:space="preserve"> and </w:t>
      </w:r>
      <w:r w:rsidR="0000320E">
        <w:t xml:space="preserve">Average </w:t>
      </w:r>
      <w:r w:rsidR="0097437B" w:rsidRPr="004F5A6C">
        <w:t xml:space="preserve">Wages by </w:t>
      </w:r>
      <w:r w:rsidR="001F3464" w:rsidRPr="004F5A6C">
        <w:t>Setting</w:t>
      </w:r>
    </w:p>
    <w:tbl>
      <w:tblPr>
        <w:tblStyle w:val="TableGrid"/>
        <w:tblW w:w="6278" w:type="dxa"/>
        <w:tblLook w:val="04A0" w:firstRow="1" w:lastRow="0" w:firstColumn="1" w:lastColumn="0" w:noHBand="0" w:noVBand="1"/>
        <w:tblDescription w:val="This table compares the hours worked and hourly wages across the different employment opportunities."/>
      </w:tblPr>
      <w:tblGrid>
        <w:gridCol w:w="2719"/>
        <w:gridCol w:w="1910"/>
        <w:gridCol w:w="1649"/>
      </w:tblGrid>
      <w:tr w:rsidR="00F75BAF" w:rsidRPr="004F5A6C" w14:paraId="2E5BC4F0" w14:textId="77777777" w:rsidTr="00EF2095">
        <w:trPr>
          <w:trHeight w:val="32"/>
          <w:tblHeader/>
        </w:trPr>
        <w:tc>
          <w:tcPr>
            <w:tcW w:w="2719" w:type="dxa"/>
          </w:tcPr>
          <w:p w14:paraId="3E1E757F" w14:textId="77777777" w:rsidR="00F75BAF" w:rsidRPr="004F5A6C" w:rsidRDefault="00F75BAF" w:rsidP="00612398">
            <w:pPr>
              <w:jc w:val="center"/>
              <w:rPr>
                <w:b/>
                <w:sz w:val="28"/>
                <w:szCs w:val="28"/>
              </w:rPr>
            </w:pPr>
          </w:p>
        </w:tc>
        <w:tc>
          <w:tcPr>
            <w:tcW w:w="1910" w:type="dxa"/>
          </w:tcPr>
          <w:p w14:paraId="318E4FF2" w14:textId="2773048B" w:rsidR="00F75BAF" w:rsidRPr="004F5A6C" w:rsidRDefault="00F75BAF" w:rsidP="00612398">
            <w:pPr>
              <w:jc w:val="center"/>
              <w:rPr>
                <w:b/>
              </w:rPr>
            </w:pPr>
            <w:r w:rsidRPr="004F5A6C">
              <w:rPr>
                <w:b/>
              </w:rPr>
              <w:t>Hours</w:t>
            </w:r>
          </w:p>
        </w:tc>
        <w:tc>
          <w:tcPr>
            <w:tcW w:w="1649" w:type="dxa"/>
          </w:tcPr>
          <w:p w14:paraId="3B9DC357" w14:textId="3295A908" w:rsidR="00F75BAF" w:rsidRPr="004F5A6C" w:rsidRDefault="00F75BAF" w:rsidP="00612398">
            <w:pPr>
              <w:jc w:val="center"/>
              <w:rPr>
                <w:b/>
              </w:rPr>
            </w:pPr>
            <w:r w:rsidRPr="004F5A6C">
              <w:rPr>
                <w:b/>
              </w:rPr>
              <w:t>Wages</w:t>
            </w:r>
          </w:p>
        </w:tc>
      </w:tr>
      <w:tr w:rsidR="00F75BAF" w:rsidRPr="004F5A6C" w14:paraId="38712B6E" w14:textId="77777777" w:rsidTr="00EF2095">
        <w:trPr>
          <w:trHeight w:val="32"/>
          <w:tblHeader/>
        </w:trPr>
        <w:tc>
          <w:tcPr>
            <w:tcW w:w="2719" w:type="dxa"/>
          </w:tcPr>
          <w:p w14:paraId="119EE6FC" w14:textId="4980DCB9" w:rsidR="00F75BAF" w:rsidRPr="004F5A6C" w:rsidRDefault="00EE2F11" w:rsidP="00612398">
            <w:pPr>
              <w:jc w:val="center"/>
              <w:rPr>
                <w:b/>
                <w:sz w:val="28"/>
                <w:szCs w:val="28"/>
              </w:rPr>
            </w:pPr>
            <w:r>
              <w:t>Individual job</w:t>
            </w:r>
          </w:p>
        </w:tc>
        <w:tc>
          <w:tcPr>
            <w:tcW w:w="1910" w:type="dxa"/>
          </w:tcPr>
          <w:p w14:paraId="18100314" w14:textId="38448E3A" w:rsidR="00F75BAF" w:rsidRPr="004F5A6C" w:rsidRDefault="00F75BAF" w:rsidP="00612398">
            <w:pPr>
              <w:jc w:val="center"/>
              <w:rPr>
                <w:bCs/>
              </w:rPr>
            </w:pPr>
            <w:r w:rsidRPr="004F5A6C">
              <w:rPr>
                <w:bCs/>
              </w:rPr>
              <w:t>20</w:t>
            </w:r>
          </w:p>
        </w:tc>
        <w:tc>
          <w:tcPr>
            <w:tcW w:w="1649" w:type="dxa"/>
          </w:tcPr>
          <w:p w14:paraId="3952CC37" w14:textId="19CCBA04" w:rsidR="00F75BAF" w:rsidRPr="004F5A6C" w:rsidRDefault="00DD69E3" w:rsidP="00612398">
            <w:pPr>
              <w:jc w:val="center"/>
              <w:rPr>
                <w:bCs/>
              </w:rPr>
            </w:pPr>
            <w:r w:rsidRPr="004F5A6C">
              <w:rPr>
                <w:bCs/>
              </w:rPr>
              <w:t>$10.36</w:t>
            </w:r>
          </w:p>
        </w:tc>
      </w:tr>
      <w:tr w:rsidR="00F75BAF" w:rsidRPr="004F5A6C" w14:paraId="6D7AE1D0" w14:textId="77777777" w:rsidTr="00EF2095">
        <w:trPr>
          <w:trHeight w:val="32"/>
          <w:tblHeader/>
        </w:trPr>
        <w:tc>
          <w:tcPr>
            <w:tcW w:w="2719" w:type="dxa"/>
          </w:tcPr>
          <w:p w14:paraId="689BDF71" w14:textId="3CB0DDB3" w:rsidR="00F75BAF" w:rsidRPr="004F5A6C" w:rsidRDefault="00F75BAF" w:rsidP="00612398">
            <w:pPr>
              <w:jc w:val="center"/>
              <w:rPr>
                <w:b/>
                <w:sz w:val="28"/>
                <w:szCs w:val="28"/>
              </w:rPr>
            </w:pPr>
            <w:r w:rsidRPr="004F5A6C">
              <w:t>Off-site Group</w:t>
            </w:r>
          </w:p>
        </w:tc>
        <w:tc>
          <w:tcPr>
            <w:tcW w:w="1910" w:type="dxa"/>
          </w:tcPr>
          <w:p w14:paraId="3ED7F301" w14:textId="5F78F95D" w:rsidR="00F75BAF" w:rsidRPr="004F5A6C" w:rsidRDefault="00F75BAF" w:rsidP="00612398">
            <w:pPr>
              <w:jc w:val="center"/>
              <w:rPr>
                <w:bCs/>
              </w:rPr>
            </w:pPr>
            <w:r w:rsidRPr="004F5A6C">
              <w:rPr>
                <w:bCs/>
              </w:rPr>
              <w:t>22.5</w:t>
            </w:r>
          </w:p>
        </w:tc>
        <w:tc>
          <w:tcPr>
            <w:tcW w:w="1649" w:type="dxa"/>
          </w:tcPr>
          <w:p w14:paraId="7D9237FD" w14:textId="6A9A578C" w:rsidR="00F75BAF" w:rsidRPr="004F5A6C" w:rsidRDefault="00DD69E3" w:rsidP="00612398">
            <w:pPr>
              <w:jc w:val="center"/>
              <w:rPr>
                <w:bCs/>
              </w:rPr>
            </w:pPr>
            <w:r w:rsidRPr="004F5A6C">
              <w:rPr>
                <w:bCs/>
              </w:rPr>
              <w:t>$6.95</w:t>
            </w:r>
          </w:p>
        </w:tc>
      </w:tr>
      <w:tr w:rsidR="00F75BAF" w:rsidRPr="004F5A6C" w14:paraId="6CF14F92" w14:textId="77777777" w:rsidTr="00EF2095">
        <w:trPr>
          <w:trHeight w:val="32"/>
          <w:tblHeader/>
        </w:trPr>
        <w:tc>
          <w:tcPr>
            <w:tcW w:w="2719" w:type="dxa"/>
          </w:tcPr>
          <w:p w14:paraId="13AAE6A8" w14:textId="2A087F07" w:rsidR="00F75BAF" w:rsidRPr="004F5A6C" w:rsidRDefault="00F75BAF" w:rsidP="00612398">
            <w:pPr>
              <w:jc w:val="center"/>
              <w:rPr>
                <w:b/>
                <w:sz w:val="28"/>
                <w:szCs w:val="28"/>
              </w:rPr>
            </w:pPr>
            <w:r w:rsidRPr="004F5A6C">
              <w:t>Sheltered Workshop</w:t>
            </w:r>
          </w:p>
        </w:tc>
        <w:tc>
          <w:tcPr>
            <w:tcW w:w="1910" w:type="dxa"/>
          </w:tcPr>
          <w:p w14:paraId="1E5F764D" w14:textId="637977EE" w:rsidR="00F75BAF" w:rsidRPr="004F5A6C" w:rsidRDefault="00F75BAF" w:rsidP="00612398">
            <w:pPr>
              <w:jc w:val="center"/>
              <w:rPr>
                <w:bCs/>
              </w:rPr>
            </w:pPr>
            <w:r w:rsidRPr="004F5A6C">
              <w:rPr>
                <w:bCs/>
              </w:rPr>
              <w:t>24</w:t>
            </w:r>
          </w:p>
        </w:tc>
        <w:tc>
          <w:tcPr>
            <w:tcW w:w="1649" w:type="dxa"/>
          </w:tcPr>
          <w:p w14:paraId="4F4A3573" w14:textId="313000DE" w:rsidR="00F75BAF" w:rsidRPr="004F5A6C" w:rsidRDefault="00DD69E3" w:rsidP="00612398">
            <w:pPr>
              <w:jc w:val="center"/>
              <w:rPr>
                <w:bCs/>
              </w:rPr>
            </w:pPr>
            <w:r w:rsidRPr="004F5A6C">
              <w:rPr>
                <w:bCs/>
              </w:rPr>
              <w:t>$2.71</w:t>
            </w:r>
          </w:p>
        </w:tc>
      </w:tr>
    </w:tbl>
    <w:p w14:paraId="12B8B204" w14:textId="72D540B9" w:rsidR="0073141B" w:rsidRDefault="0073141B" w:rsidP="0073141B">
      <w:pPr>
        <w:pStyle w:val="Heading3"/>
      </w:pPr>
      <w:r w:rsidRPr="009D773B">
        <w:t>Table 2</w:t>
      </w:r>
      <w:r w:rsidR="00EF2095">
        <w:t>a</w:t>
      </w:r>
      <w:r w:rsidRPr="009D773B">
        <w:t>. By the Age and Setting for Transition Age Youth</w:t>
      </w:r>
      <w:r w:rsidR="00EF2095">
        <w:t xml:space="preserve"> in Sheltered Employment</w:t>
      </w:r>
    </w:p>
    <w:tbl>
      <w:tblPr>
        <w:tblStyle w:val="TableGrid"/>
        <w:tblW w:w="6376" w:type="dxa"/>
        <w:tblLook w:val="04A0" w:firstRow="1" w:lastRow="0" w:firstColumn="1" w:lastColumn="0" w:noHBand="0" w:noVBand="1"/>
        <w:tblDescription w:val="This table compares the hours worked and hourly wages across two age groups."/>
      </w:tblPr>
      <w:tblGrid>
        <w:gridCol w:w="1341"/>
        <w:gridCol w:w="1821"/>
        <w:gridCol w:w="1583"/>
        <w:gridCol w:w="1631"/>
      </w:tblGrid>
      <w:tr w:rsidR="00EF2095" w:rsidRPr="004F5A6C" w14:paraId="730F2860" w14:textId="77777777" w:rsidTr="00EF2095">
        <w:trPr>
          <w:trHeight w:val="200"/>
          <w:tblHeader/>
        </w:trPr>
        <w:tc>
          <w:tcPr>
            <w:tcW w:w="1341" w:type="dxa"/>
          </w:tcPr>
          <w:p w14:paraId="5BEC23A2" w14:textId="77777777" w:rsidR="00EF2095" w:rsidRPr="004F5A6C" w:rsidRDefault="00EF2095" w:rsidP="00612398">
            <w:pPr>
              <w:jc w:val="center"/>
              <w:rPr>
                <w:b/>
                <w:sz w:val="28"/>
                <w:szCs w:val="28"/>
              </w:rPr>
            </w:pPr>
          </w:p>
        </w:tc>
        <w:tc>
          <w:tcPr>
            <w:tcW w:w="1821" w:type="dxa"/>
          </w:tcPr>
          <w:p w14:paraId="79178EB8" w14:textId="3417D82C" w:rsidR="00EF2095" w:rsidRPr="004F5A6C" w:rsidRDefault="00EF2095" w:rsidP="00612398">
            <w:pPr>
              <w:jc w:val="center"/>
              <w:rPr>
                <w:b/>
              </w:rPr>
            </w:pPr>
            <w:r w:rsidRPr="004F5A6C">
              <w:rPr>
                <w:b/>
              </w:rPr>
              <w:t>Percent</w:t>
            </w:r>
          </w:p>
        </w:tc>
        <w:tc>
          <w:tcPr>
            <w:tcW w:w="1583" w:type="dxa"/>
          </w:tcPr>
          <w:p w14:paraId="0D1FD79E" w14:textId="7D56263B" w:rsidR="00EF2095" w:rsidRPr="004F5A6C" w:rsidRDefault="00EF2095" w:rsidP="00612398">
            <w:pPr>
              <w:jc w:val="center"/>
              <w:rPr>
                <w:b/>
              </w:rPr>
            </w:pPr>
            <w:r w:rsidRPr="004F5A6C">
              <w:rPr>
                <w:b/>
              </w:rPr>
              <w:t>Hours</w:t>
            </w:r>
          </w:p>
        </w:tc>
        <w:tc>
          <w:tcPr>
            <w:tcW w:w="1631" w:type="dxa"/>
          </w:tcPr>
          <w:p w14:paraId="199F931B" w14:textId="39BBFD8D" w:rsidR="00EF2095" w:rsidRPr="004F5A6C" w:rsidRDefault="00EF2095" w:rsidP="00612398">
            <w:pPr>
              <w:jc w:val="center"/>
              <w:rPr>
                <w:b/>
              </w:rPr>
            </w:pPr>
            <w:r w:rsidRPr="004F5A6C">
              <w:rPr>
                <w:b/>
              </w:rPr>
              <w:t>Wages</w:t>
            </w:r>
          </w:p>
        </w:tc>
      </w:tr>
      <w:tr w:rsidR="00EF2095" w:rsidRPr="004F5A6C" w14:paraId="44D0511C" w14:textId="77777777" w:rsidTr="00EF2095">
        <w:trPr>
          <w:trHeight w:val="326"/>
          <w:tblHeader/>
        </w:trPr>
        <w:tc>
          <w:tcPr>
            <w:tcW w:w="1341" w:type="dxa"/>
          </w:tcPr>
          <w:p w14:paraId="278CD101" w14:textId="0849157E" w:rsidR="00EF2095" w:rsidRPr="004F5A6C" w:rsidRDefault="00EF2095" w:rsidP="00612398">
            <w:pPr>
              <w:jc w:val="center"/>
              <w:rPr>
                <w:b/>
              </w:rPr>
            </w:pPr>
            <w:r w:rsidRPr="004F5A6C">
              <w:rPr>
                <w:b/>
              </w:rPr>
              <w:t>18-24 yrs</w:t>
            </w:r>
          </w:p>
        </w:tc>
        <w:tc>
          <w:tcPr>
            <w:tcW w:w="1821" w:type="dxa"/>
          </w:tcPr>
          <w:p w14:paraId="20CCABBB" w14:textId="788FB5A5" w:rsidR="00EF2095" w:rsidRPr="004F5A6C" w:rsidRDefault="00EF2095" w:rsidP="00612398">
            <w:pPr>
              <w:jc w:val="center"/>
              <w:rPr>
                <w:bCs/>
              </w:rPr>
            </w:pPr>
            <w:r>
              <w:rPr>
                <w:bCs/>
              </w:rPr>
              <w:t>20%</w:t>
            </w:r>
          </w:p>
        </w:tc>
        <w:tc>
          <w:tcPr>
            <w:tcW w:w="1583" w:type="dxa"/>
          </w:tcPr>
          <w:p w14:paraId="603ADD04" w14:textId="2C6910D7" w:rsidR="00EF2095" w:rsidRPr="004F5A6C" w:rsidRDefault="00EF2095" w:rsidP="00612398">
            <w:pPr>
              <w:jc w:val="center"/>
              <w:rPr>
                <w:bCs/>
              </w:rPr>
            </w:pPr>
            <w:r w:rsidRPr="004F5A6C">
              <w:rPr>
                <w:bCs/>
              </w:rPr>
              <w:t>19</w:t>
            </w:r>
          </w:p>
        </w:tc>
        <w:tc>
          <w:tcPr>
            <w:tcW w:w="1631" w:type="dxa"/>
          </w:tcPr>
          <w:p w14:paraId="4D3DD17F" w14:textId="5DF4AB49" w:rsidR="00EF2095" w:rsidRPr="004F5A6C" w:rsidRDefault="00EF2095" w:rsidP="00612398">
            <w:pPr>
              <w:jc w:val="center"/>
              <w:rPr>
                <w:bCs/>
              </w:rPr>
            </w:pPr>
            <w:r w:rsidRPr="004F5A6C">
              <w:rPr>
                <w:bCs/>
              </w:rPr>
              <w:t>$3.46</w:t>
            </w:r>
          </w:p>
        </w:tc>
      </w:tr>
      <w:tr w:rsidR="00EF2095" w:rsidRPr="004F5A6C" w14:paraId="364733BC" w14:textId="77777777" w:rsidTr="00EF2095">
        <w:trPr>
          <w:trHeight w:val="466"/>
          <w:tblHeader/>
        </w:trPr>
        <w:tc>
          <w:tcPr>
            <w:tcW w:w="1341" w:type="dxa"/>
          </w:tcPr>
          <w:p w14:paraId="5A5C3824" w14:textId="2BB8FFCB" w:rsidR="00EF2095" w:rsidRPr="004F5A6C" w:rsidRDefault="00EF2095" w:rsidP="00612398">
            <w:pPr>
              <w:jc w:val="center"/>
              <w:rPr>
                <w:b/>
              </w:rPr>
            </w:pPr>
            <w:r w:rsidRPr="004F5A6C">
              <w:rPr>
                <w:b/>
              </w:rPr>
              <w:t>25-29 yrs</w:t>
            </w:r>
          </w:p>
        </w:tc>
        <w:tc>
          <w:tcPr>
            <w:tcW w:w="1821" w:type="dxa"/>
          </w:tcPr>
          <w:p w14:paraId="1DCB9A62" w14:textId="2284CABF" w:rsidR="00EF2095" w:rsidRPr="004F5A6C" w:rsidRDefault="00EF2095" w:rsidP="00612398">
            <w:pPr>
              <w:jc w:val="center"/>
              <w:rPr>
                <w:bCs/>
              </w:rPr>
            </w:pPr>
            <w:r>
              <w:rPr>
                <w:bCs/>
              </w:rPr>
              <w:t>42%</w:t>
            </w:r>
          </w:p>
        </w:tc>
        <w:tc>
          <w:tcPr>
            <w:tcW w:w="1583" w:type="dxa"/>
          </w:tcPr>
          <w:p w14:paraId="1EE2AD66" w14:textId="0966DDF8" w:rsidR="00EF2095" w:rsidRPr="004F5A6C" w:rsidRDefault="00EF2095" w:rsidP="00612398">
            <w:pPr>
              <w:jc w:val="center"/>
              <w:rPr>
                <w:bCs/>
              </w:rPr>
            </w:pPr>
            <w:r w:rsidRPr="004F5A6C">
              <w:rPr>
                <w:bCs/>
              </w:rPr>
              <w:t>23</w:t>
            </w:r>
          </w:p>
        </w:tc>
        <w:tc>
          <w:tcPr>
            <w:tcW w:w="1631" w:type="dxa"/>
          </w:tcPr>
          <w:p w14:paraId="7922E03E" w14:textId="24D41D3A" w:rsidR="00EF2095" w:rsidRPr="004F5A6C" w:rsidRDefault="00EF2095" w:rsidP="00612398">
            <w:pPr>
              <w:jc w:val="center"/>
              <w:rPr>
                <w:bCs/>
              </w:rPr>
            </w:pPr>
            <w:r w:rsidRPr="004F5A6C">
              <w:rPr>
                <w:bCs/>
              </w:rPr>
              <w:t>$3.05</w:t>
            </w:r>
          </w:p>
        </w:tc>
      </w:tr>
    </w:tbl>
    <w:p w14:paraId="14B0F76A" w14:textId="56048BB2" w:rsidR="00EF2095" w:rsidRDefault="00EF2095" w:rsidP="00EF2095">
      <w:pPr>
        <w:pStyle w:val="Heading3"/>
      </w:pPr>
      <w:bookmarkStart w:id="5" w:name="_Toc39135701"/>
      <w:r w:rsidRPr="009D773B">
        <w:lastRenderedPageBreak/>
        <w:t>Table 2</w:t>
      </w:r>
      <w:r>
        <w:t>b</w:t>
      </w:r>
      <w:r w:rsidRPr="009D773B">
        <w:t>. By the Age and Setting for Transition Age Youth</w:t>
      </w:r>
      <w:r>
        <w:t xml:space="preserve"> in </w:t>
      </w:r>
      <w:r>
        <w:t>Off-site Groups</w:t>
      </w:r>
    </w:p>
    <w:tbl>
      <w:tblPr>
        <w:tblStyle w:val="TableGrid"/>
        <w:tblW w:w="6117" w:type="dxa"/>
        <w:tblLook w:val="04A0" w:firstRow="1" w:lastRow="0" w:firstColumn="1" w:lastColumn="0" w:noHBand="0" w:noVBand="1"/>
        <w:tblDescription w:val="This table compares the hours worked and hourly wages across two age groups."/>
      </w:tblPr>
      <w:tblGrid>
        <w:gridCol w:w="1624"/>
        <w:gridCol w:w="1624"/>
        <w:gridCol w:w="1413"/>
        <w:gridCol w:w="1456"/>
      </w:tblGrid>
      <w:tr w:rsidR="00EF2095" w:rsidRPr="004F5A6C" w14:paraId="2BF0CF60" w14:textId="77777777" w:rsidTr="00EF2095">
        <w:trPr>
          <w:trHeight w:val="165"/>
          <w:tblHeader/>
        </w:trPr>
        <w:tc>
          <w:tcPr>
            <w:tcW w:w="1624" w:type="dxa"/>
            <w:vAlign w:val="center"/>
          </w:tcPr>
          <w:p w14:paraId="49B39960" w14:textId="77777777" w:rsidR="00EF2095" w:rsidRPr="004F5A6C" w:rsidRDefault="00EF2095" w:rsidP="00EF2095">
            <w:pPr>
              <w:jc w:val="center"/>
              <w:rPr>
                <w:b/>
              </w:rPr>
            </w:pPr>
          </w:p>
        </w:tc>
        <w:tc>
          <w:tcPr>
            <w:tcW w:w="1624" w:type="dxa"/>
            <w:vAlign w:val="center"/>
          </w:tcPr>
          <w:p w14:paraId="7EECAA89" w14:textId="778BCFE6" w:rsidR="00EF2095" w:rsidRPr="004F5A6C" w:rsidRDefault="00EF2095" w:rsidP="00EF2095">
            <w:pPr>
              <w:jc w:val="center"/>
              <w:rPr>
                <w:b/>
              </w:rPr>
            </w:pPr>
            <w:r w:rsidRPr="004F5A6C">
              <w:rPr>
                <w:b/>
              </w:rPr>
              <w:t>Percent</w:t>
            </w:r>
          </w:p>
        </w:tc>
        <w:tc>
          <w:tcPr>
            <w:tcW w:w="1413" w:type="dxa"/>
            <w:vAlign w:val="center"/>
          </w:tcPr>
          <w:p w14:paraId="58575117" w14:textId="77777777" w:rsidR="00EF2095" w:rsidRPr="004F5A6C" w:rsidRDefault="00EF2095" w:rsidP="00EF2095">
            <w:pPr>
              <w:jc w:val="center"/>
              <w:rPr>
                <w:b/>
              </w:rPr>
            </w:pPr>
            <w:r w:rsidRPr="004F5A6C">
              <w:rPr>
                <w:b/>
              </w:rPr>
              <w:t>Hours</w:t>
            </w:r>
          </w:p>
        </w:tc>
        <w:tc>
          <w:tcPr>
            <w:tcW w:w="1456" w:type="dxa"/>
            <w:vAlign w:val="center"/>
          </w:tcPr>
          <w:p w14:paraId="28CEBAFF" w14:textId="77777777" w:rsidR="00EF2095" w:rsidRPr="004F5A6C" w:rsidRDefault="00EF2095" w:rsidP="00EF2095">
            <w:pPr>
              <w:jc w:val="center"/>
              <w:rPr>
                <w:b/>
              </w:rPr>
            </w:pPr>
            <w:r w:rsidRPr="004F5A6C">
              <w:rPr>
                <w:b/>
              </w:rPr>
              <w:t>Wages</w:t>
            </w:r>
          </w:p>
        </w:tc>
      </w:tr>
      <w:tr w:rsidR="00EF2095" w:rsidRPr="004F5A6C" w14:paraId="32258D59" w14:textId="77777777" w:rsidTr="00EF2095">
        <w:trPr>
          <w:trHeight w:val="269"/>
          <w:tblHeader/>
        </w:trPr>
        <w:tc>
          <w:tcPr>
            <w:tcW w:w="1624" w:type="dxa"/>
            <w:vAlign w:val="center"/>
          </w:tcPr>
          <w:p w14:paraId="19E7C26F" w14:textId="7352C62C" w:rsidR="00EF2095" w:rsidRDefault="00EF2095" w:rsidP="00EF2095">
            <w:pPr>
              <w:jc w:val="center"/>
              <w:rPr>
                <w:bCs/>
              </w:rPr>
            </w:pPr>
            <w:r w:rsidRPr="004F5A6C">
              <w:rPr>
                <w:b/>
              </w:rPr>
              <w:t>18-24 yrs</w:t>
            </w:r>
          </w:p>
        </w:tc>
        <w:tc>
          <w:tcPr>
            <w:tcW w:w="1624" w:type="dxa"/>
            <w:vAlign w:val="center"/>
          </w:tcPr>
          <w:p w14:paraId="5050661F" w14:textId="0A0FC43B" w:rsidR="00EF2095" w:rsidRPr="004F5A6C" w:rsidRDefault="00EF2095" w:rsidP="00EF2095">
            <w:pPr>
              <w:jc w:val="center"/>
              <w:rPr>
                <w:bCs/>
              </w:rPr>
            </w:pPr>
            <w:r>
              <w:rPr>
                <w:bCs/>
              </w:rPr>
              <w:t>1%</w:t>
            </w:r>
          </w:p>
        </w:tc>
        <w:tc>
          <w:tcPr>
            <w:tcW w:w="1413" w:type="dxa"/>
            <w:vAlign w:val="center"/>
          </w:tcPr>
          <w:p w14:paraId="376AA1B5" w14:textId="77777777" w:rsidR="00EF2095" w:rsidRPr="004F5A6C" w:rsidRDefault="00EF2095" w:rsidP="00EF2095">
            <w:pPr>
              <w:jc w:val="center"/>
              <w:rPr>
                <w:bCs/>
              </w:rPr>
            </w:pPr>
            <w:r w:rsidRPr="004F5A6C">
              <w:rPr>
                <w:bCs/>
              </w:rPr>
              <w:t>15</w:t>
            </w:r>
          </w:p>
        </w:tc>
        <w:tc>
          <w:tcPr>
            <w:tcW w:w="1456" w:type="dxa"/>
            <w:vAlign w:val="center"/>
          </w:tcPr>
          <w:p w14:paraId="10CA6C8E" w14:textId="77777777" w:rsidR="00EF2095" w:rsidRPr="004F5A6C" w:rsidRDefault="00EF2095" w:rsidP="00EF2095">
            <w:pPr>
              <w:jc w:val="center"/>
              <w:rPr>
                <w:bCs/>
              </w:rPr>
            </w:pPr>
            <w:r w:rsidRPr="004F5A6C">
              <w:rPr>
                <w:bCs/>
              </w:rPr>
              <w:t>$6.14</w:t>
            </w:r>
          </w:p>
        </w:tc>
      </w:tr>
      <w:tr w:rsidR="00EF2095" w:rsidRPr="004F5A6C" w14:paraId="0D7942BF" w14:textId="77777777" w:rsidTr="00EF2095">
        <w:trPr>
          <w:trHeight w:val="385"/>
          <w:tblHeader/>
        </w:trPr>
        <w:tc>
          <w:tcPr>
            <w:tcW w:w="1624" w:type="dxa"/>
            <w:vAlign w:val="center"/>
          </w:tcPr>
          <w:p w14:paraId="007FE7AE" w14:textId="49898C7B" w:rsidR="00EF2095" w:rsidRDefault="00EF2095" w:rsidP="00EF2095">
            <w:pPr>
              <w:jc w:val="center"/>
              <w:rPr>
                <w:bCs/>
              </w:rPr>
            </w:pPr>
            <w:r w:rsidRPr="004F5A6C">
              <w:rPr>
                <w:b/>
              </w:rPr>
              <w:t>25-29 yrs</w:t>
            </w:r>
          </w:p>
        </w:tc>
        <w:tc>
          <w:tcPr>
            <w:tcW w:w="1624" w:type="dxa"/>
            <w:vAlign w:val="center"/>
          </w:tcPr>
          <w:p w14:paraId="65AC5A55" w14:textId="6B1ADC3C" w:rsidR="00EF2095" w:rsidRPr="004F5A6C" w:rsidRDefault="00EF2095" w:rsidP="00EF2095">
            <w:pPr>
              <w:jc w:val="center"/>
              <w:rPr>
                <w:bCs/>
              </w:rPr>
            </w:pPr>
            <w:r>
              <w:rPr>
                <w:bCs/>
              </w:rPr>
              <w:t>1%</w:t>
            </w:r>
          </w:p>
        </w:tc>
        <w:tc>
          <w:tcPr>
            <w:tcW w:w="1413" w:type="dxa"/>
            <w:vAlign w:val="center"/>
          </w:tcPr>
          <w:p w14:paraId="20126844" w14:textId="77777777" w:rsidR="00EF2095" w:rsidRPr="004F5A6C" w:rsidRDefault="00EF2095" w:rsidP="00EF2095">
            <w:pPr>
              <w:jc w:val="center"/>
              <w:rPr>
                <w:bCs/>
              </w:rPr>
            </w:pPr>
            <w:r w:rsidRPr="004F5A6C">
              <w:rPr>
                <w:bCs/>
              </w:rPr>
              <w:t>28</w:t>
            </w:r>
          </w:p>
        </w:tc>
        <w:tc>
          <w:tcPr>
            <w:tcW w:w="1456" w:type="dxa"/>
            <w:vAlign w:val="center"/>
          </w:tcPr>
          <w:p w14:paraId="7D36B611" w14:textId="77777777" w:rsidR="00EF2095" w:rsidRPr="004F5A6C" w:rsidRDefault="00EF2095" w:rsidP="00EF2095">
            <w:pPr>
              <w:jc w:val="center"/>
              <w:rPr>
                <w:bCs/>
              </w:rPr>
            </w:pPr>
            <w:r w:rsidRPr="004F5A6C">
              <w:rPr>
                <w:bCs/>
              </w:rPr>
              <w:t>$8.51</w:t>
            </w:r>
          </w:p>
        </w:tc>
      </w:tr>
    </w:tbl>
    <w:p w14:paraId="7E847717" w14:textId="7295CBBD" w:rsidR="00EF2095" w:rsidRDefault="00EF2095" w:rsidP="00EF2095">
      <w:pPr>
        <w:pStyle w:val="Heading3"/>
      </w:pPr>
      <w:r w:rsidRPr="009D773B">
        <w:t>Table 2</w:t>
      </w:r>
      <w:r>
        <w:t>c</w:t>
      </w:r>
      <w:r w:rsidRPr="009D773B">
        <w:t>. By the Age and Setting for Transition Age Youth</w:t>
      </w:r>
      <w:r>
        <w:t xml:space="preserve"> in </w:t>
      </w:r>
      <w:r>
        <w:t>Individual Jobs</w:t>
      </w:r>
    </w:p>
    <w:tbl>
      <w:tblPr>
        <w:tblStyle w:val="TableGrid"/>
        <w:tblW w:w="6070" w:type="dxa"/>
        <w:tblLook w:val="04A0" w:firstRow="1" w:lastRow="0" w:firstColumn="1" w:lastColumn="0" w:noHBand="0" w:noVBand="1"/>
        <w:tblDescription w:val="This table compares the hours worked and hourly wages across two age groups."/>
      </w:tblPr>
      <w:tblGrid>
        <w:gridCol w:w="1742"/>
        <w:gridCol w:w="1566"/>
        <w:gridCol w:w="1361"/>
        <w:gridCol w:w="1401"/>
      </w:tblGrid>
      <w:tr w:rsidR="00EF2095" w:rsidRPr="004F5A6C" w14:paraId="0BBA1541" w14:textId="77777777" w:rsidTr="00EF2095">
        <w:trPr>
          <w:trHeight w:val="164"/>
          <w:tblHeader/>
        </w:trPr>
        <w:tc>
          <w:tcPr>
            <w:tcW w:w="0" w:type="auto"/>
            <w:vAlign w:val="center"/>
          </w:tcPr>
          <w:p w14:paraId="280712F9" w14:textId="77777777" w:rsidR="00EF2095" w:rsidRPr="004F5A6C" w:rsidRDefault="00EF2095" w:rsidP="00EF2095">
            <w:pPr>
              <w:jc w:val="center"/>
              <w:rPr>
                <w:b/>
              </w:rPr>
            </w:pPr>
            <w:bookmarkStart w:id="6" w:name="_GoBack" w:colFirst="0" w:colLast="4"/>
          </w:p>
        </w:tc>
        <w:tc>
          <w:tcPr>
            <w:tcW w:w="0" w:type="auto"/>
            <w:vAlign w:val="center"/>
          </w:tcPr>
          <w:p w14:paraId="1F6FA3B3" w14:textId="28DFAD46" w:rsidR="00EF2095" w:rsidRPr="004F5A6C" w:rsidRDefault="00EF2095" w:rsidP="00EF2095">
            <w:pPr>
              <w:jc w:val="center"/>
              <w:rPr>
                <w:b/>
              </w:rPr>
            </w:pPr>
            <w:r w:rsidRPr="004F5A6C">
              <w:rPr>
                <w:b/>
              </w:rPr>
              <w:t>Percent</w:t>
            </w:r>
          </w:p>
        </w:tc>
        <w:tc>
          <w:tcPr>
            <w:tcW w:w="0" w:type="auto"/>
            <w:vAlign w:val="center"/>
          </w:tcPr>
          <w:p w14:paraId="18E7D40F" w14:textId="77777777" w:rsidR="00EF2095" w:rsidRPr="004F5A6C" w:rsidRDefault="00EF2095" w:rsidP="00EF2095">
            <w:pPr>
              <w:jc w:val="center"/>
              <w:rPr>
                <w:b/>
              </w:rPr>
            </w:pPr>
            <w:r w:rsidRPr="004F5A6C">
              <w:rPr>
                <w:b/>
              </w:rPr>
              <w:t>Hours</w:t>
            </w:r>
          </w:p>
        </w:tc>
        <w:tc>
          <w:tcPr>
            <w:tcW w:w="0" w:type="auto"/>
            <w:vAlign w:val="center"/>
          </w:tcPr>
          <w:p w14:paraId="10BF089C" w14:textId="77777777" w:rsidR="00EF2095" w:rsidRPr="004F5A6C" w:rsidRDefault="00EF2095" w:rsidP="00EF2095">
            <w:pPr>
              <w:jc w:val="center"/>
              <w:rPr>
                <w:b/>
              </w:rPr>
            </w:pPr>
            <w:r w:rsidRPr="004F5A6C">
              <w:rPr>
                <w:b/>
              </w:rPr>
              <w:t>Wages</w:t>
            </w:r>
          </w:p>
        </w:tc>
      </w:tr>
      <w:tr w:rsidR="00EF2095" w:rsidRPr="004F5A6C" w14:paraId="5BD84855" w14:textId="77777777" w:rsidTr="00EF2095">
        <w:trPr>
          <w:trHeight w:val="267"/>
          <w:tblHeader/>
        </w:trPr>
        <w:tc>
          <w:tcPr>
            <w:tcW w:w="0" w:type="auto"/>
            <w:vAlign w:val="center"/>
          </w:tcPr>
          <w:p w14:paraId="010BA8CE" w14:textId="41B2BD4B" w:rsidR="00EF2095" w:rsidRDefault="00EF2095" w:rsidP="00EF2095">
            <w:pPr>
              <w:jc w:val="center"/>
              <w:rPr>
                <w:bCs/>
              </w:rPr>
            </w:pPr>
            <w:r w:rsidRPr="004F5A6C">
              <w:rPr>
                <w:b/>
              </w:rPr>
              <w:t>18-24 yrs</w:t>
            </w:r>
          </w:p>
        </w:tc>
        <w:tc>
          <w:tcPr>
            <w:tcW w:w="0" w:type="auto"/>
            <w:vAlign w:val="center"/>
          </w:tcPr>
          <w:p w14:paraId="7CCE0426" w14:textId="326FAB4E" w:rsidR="00EF2095" w:rsidRPr="004F5A6C" w:rsidRDefault="00EF2095" w:rsidP="00EF2095">
            <w:pPr>
              <w:jc w:val="center"/>
              <w:rPr>
                <w:bCs/>
              </w:rPr>
            </w:pPr>
            <w:r>
              <w:rPr>
                <w:bCs/>
              </w:rPr>
              <w:t>79%</w:t>
            </w:r>
          </w:p>
        </w:tc>
        <w:tc>
          <w:tcPr>
            <w:tcW w:w="0" w:type="auto"/>
            <w:vAlign w:val="center"/>
          </w:tcPr>
          <w:p w14:paraId="06822616" w14:textId="77777777" w:rsidR="00EF2095" w:rsidRPr="004F5A6C" w:rsidRDefault="00EF2095" w:rsidP="00EF2095">
            <w:pPr>
              <w:jc w:val="center"/>
              <w:rPr>
                <w:bCs/>
              </w:rPr>
            </w:pPr>
            <w:r w:rsidRPr="004F5A6C">
              <w:rPr>
                <w:bCs/>
              </w:rPr>
              <w:t>19</w:t>
            </w:r>
          </w:p>
        </w:tc>
        <w:tc>
          <w:tcPr>
            <w:tcW w:w="0" w:type="auto"/>
            <w:vAlign w:val="center"/>
          </w:tcPr>
          <w:p w14:paraId="49FBCC45" w14:textId="77777777" w:rsidR="00EF2095" w:rsidRPr="004F5A6C" w:rsidRDefault="00EF2095" w:rsidP="00EF2095">
            <w:pPr>
              <w:jc w:val="center"/>
              <w:rPr>
                <w:bCs/>
              </w:rPr>
            </w:pPr>
            <w:r>
              <w:rPr>
                <w:bCs/>
              </w:rPr>
              <w:t>$</w:t>
            </w:r>
            <w:r w:rsidRPr="004F5A6C">
              <w:rPr>
                <w:bCs/>
              </w:rPr>
              <w:t>8.97</w:t>
            </w:r>
          </w:p>
        </w:tc>
      </w:tr>
      <w:tr w:rsidR="00EF2095" w:rsidRPr="004F5A6C" w14:paraId="5F891E98" w14:textId="77777777" w:rsidTr="00EF2095">
        <w:trPr>
          <w:trHeight w:val="381"/>
          <w:tblHeader/>
        </w:trPr>
        <w:tc>
          <w:tcPr>
            <w:tcW w:w="0" w:type="auto"/>
            <w:vAlign w:val="center"/>
          </w:tcPr>
          <w:p w14:paraId="361588C1" w14:textId="0114BDD7" w:rsidR="00EF2095" w:rsidRDefault="00EF2095" w:rsidP="00EF2095">
            <w:pPr>
              <w:jc w:val="center"/>
              <w:rPr>
                <w:bCs/>
              </w:rPr>
            </w:pPr>
            <w:r w:rsidRPr="004F5A6C">
              <w:rPr>
                <w:b/>
              </w:rPr>
              <w:t>25-29 yrs</w:t>
            </w:r>
          </w:p>
        </w:tc>
        <w:tc>
          <w:tcPr>
            <w:tcW w:w="0" w:type="auto"/>
            <w:vAlign w:val="center"/>
          </w:tcPr>
          <w:p w14:paraId="135BD9D8" w14:textId="375795AB" w:rsidR="00EF2095" w:rsidRPr="004F5A6C" w:rsidRDefault="00EF2095" w:rsidP="00EF2095">
            <w:pPr>
              <w:jc w:val="center"/>
              <w:rPr>
                <w:bCs/>
              </w:rPr>
            </w:pPr>
            <w:r>
              <w:rPr>
                <w:bCs/>
              </w:rPr>
              <w:t>57%</w:t>
            </w:r>
          </w:p>
        </w:tc>
        <w:tc>
          <w:tcPr>
            <w:tcW w:w="0" w:type="auto"/>
            <w:vAlign w:val="center"/>
          </w:tcPr>
          <w:p w14:paraId="45C0FBB3" w14:textId="77777777" w:rsidR="00EF2095" w:rsidRPr="004F5A6C" w:rsidRDefault="00EF2095" w:rsidP="00EF2095">
            <w:pPr>
              <w:jc w:val="center"/>
              <w:rPr>
                <w:bCs/>
              </w:rPr>
            </w:pPr>
            <w:r w:rsidRPr="004F5A6C">
              <w:rPr>
                <w:bCs/>
              </w:rPr>
              <w:t>21</w:t>
            </w:r>
          </w:p>
        </w:tc>
        <w:tc>
          <w:tcPr>
            <w:tcW w:w="0" w:type="auto"/>
            <w:vAlign w:val="center"/>
          </w:tcPr>
          <w:p w14:paraId="1784DFC4" w14:textId="77777777" w:rsidR="00EF2095" w:rsidRPr="004F5A6C" w:rsidRDefault="00EF2095" w:rsidP="00EF2095">
            <w:pPr>
              <w:jc w:val="center"/>
              <w:rPr>
                <w:bCs/>
              </w:rPr>
            </w:pPr>
            <w:r w:rsidRPr="004F5A6C">
              <w:rPr>
                <w:bCs/>
              </w:rPr>
              <w:t>$13.12</w:t>
            </w:r>
          </w:p>
        </w:tc>
      </w:tr>
      <w:bookmarkEnd w:id="6"/>
    </w:tbl>
    <w:p w14:paraId="0C758BFE" w14:textId="77777777" w:rsidR="00EF2095" w:rsidRDefault="00EF2095" w:rsidP="00EF2095"/>
    <w:p w14:paraId="716FA782" w14:textId="0FE90461" w:rsidR="00961D53" w:rsidRPr="003C4FFC" w:rsidRDefault="00870ADB" w:rsidP="00F42B14">
      <w:pPr>
        <w:pStyle w:val="Heading2"/>
      </w:pPr>
      <w:r w:rsidRPr="00776B41">
        <w:t>Age and Primary Setting</w:t>
      </w:r>
      <w:bookmarkEnd w:id="5"/>
    </w:p>
    <w:p w14:paraId="4004B8F3" w14:textId="00D193CA" w:rsidR="0007513A" w:rsidRPr="00C91779" w:rsidRDefault="009D773B">
      <w:pPr>
        <w:rPr>
          <w:bCs/>
        </w:rPr>
      </w:pPr>
      <w:r w:rsidRPr="00C91779">
        <w:rPr>
          <w:bCs/>
        </w:rPr>
        <w:t>The data shows a steady increase in non-employment day as the age increases (27% to 33%)</w:t>
      </w:r>
      <w:r w:rsidR="00C20EE6" w:rsidRPr="00C91779">
        <w:rPr>
          <w:bCs/>
        </w:rPr>
        <w:t xml:space="preserve"> and sheltered employment (15% to 34%)</w:t>
      </w:r>
      <w:r w:rsidRPr="00C91779">
        <w:rPr>
          <w:bCs/>
        </w:rPr>
        <w:t xml:space="preserve">; and a decrease in individual jobs from 32% to </w:t>
      </w:r>
      <w:r w:rsidR="00EE2F11">
        <w:rPr>
          <w:bCs/>
        </w:rPr>
        <w:t>16% as age increases.</w:t>
      </w:r>
    </w:p>
    <w:p w14:paraId="2C4D1CCA" w14:textId="0F926CC6" w:rsidR="00C02153" w:rsidRPr="00776B41" w:rsidRDefault="00870ADB" w:rsidP="00776B41">
      <w:pPr>
        <w:pStyle w:val="Heading3"/>
      </w:pPr>
      <w:r>
        <w:t xml:space="preserve">Table 3. </w:t>
      </w:r>
      <w:r w:rsidR="000D0467" w:rsidRPr="004F5A6C">
        <w:t>Guardi</w:t>
      </w:r>
      <w:r w:rsidR="00CD26E5" w:rsidRPr="004F5A6C">
        <w:t>a</w:t>
      </w:r>
      <w:r w:rsidR="000D0467" w:rsidRPr="004F5A6C">
        <w:t>nship</w:t>
      </w:r>
      <w:r w:rsidR="00CD26E5" w:rsidRPr="004F5A6C">
        <w:t xml:space="preserve"> by Setting</w:t>
      </w:r>
    </w:p>
    <w:p w14:paraId="477DC137" w14:textId="51F4DCB6" w:rsidR="00CD26E5" w:rsidRPr="004F5A6C" w:rsidRDefault="00764604">
      <w:pPr>
        <w:rPr>
          <w:rFonts w:eastAsia="Calibri"/>
          <w:spacing w:val="-1"/>
        </w:rPr>
      </w:pPr>
      <w:r w:rsidRPr="004F5A6C">
        <w:rPr>
          <w:rFonts w:eastAsia="Calibri"/>
          <w:spacing w:val="-1"/>
        </w:rPr>
        <w:t>Data on guardianship across different settings shows number of individuals who are thei</w:t>
      </w:r>
      <w:r w:rsidR="00612398">
        <w:rPr>
          <w:rFonts w:eastAsia="Calibri"/>
          <w:spacing w:val="-1"/>
        </w:rPr>
        <w:t xml:space="preserve">r own legal guardian. "Partial" </w:t>
      </w:r>
      <w:r w:rsidRPr="004F5A6C">
        <w:rPr>
          <w:rFonts w:eastAsia="Calibri"/>
          <w:spacing w:val="-1"/>
        </w:rPr>
        <w:t>means a family member or another person has guardianship over financial and/or medical.</w:t>
      </w:r>
    </w:p>
    <w:tbl>
      <w:tblPr>
        <w:tblStyle w:val="TableGrid"/>
        <w:tblW w:w="9595" w:type="dxa"/>
        <w:tblLayout w:type="fixed"/>
        <w:tblLook w:val="04A0" w:firstRow="1" w:lastRow="0" w:firstColumn="1" w:lastColumn="0" w:noHBand="0" w:noVBand="1"/>
        <w:tblDescription w:val="This table breaks down the percent of people in each employment model by guardianship."/>
      </w:tblPr>
      <w:tblGrid>
        <w:gridCol w:w="1435"/>
        <w:gridCol w:w="1736"/>
        <w:gridCol w:w="1606"/>
        <w:gridCol w:w="1606"/>
        <w:gridCol w:w="1606"/>
        <w:gridCol w:w="1606"/>
      </w:tblGrid>
      <w:tr w:rsidR="008702BC" w:rsidRPr="004F5A6C" w14:paraId="3D818CBC" w14:textId="705E6B84" w:rsidTr="00EF2095">
        <w:trPr>
          <w:trHeight w:val="1159"/>
          <w:tblHeader/>
        </w:trPr>
        <w:tc>
          <w:tcPr>
            <w:tcW w:w="1435" w:type="dxa"/>
            <w:vAlign w:val="center"/>
          </w:tcPr>
          <w:p w14:paraId="2F322DE9" w14:textId="7D0CEDF3" w:rsidR="008702BC" w:rsidRPr="004F5A6C" w:rsidRDefault="008702BC" w:rsidP="00EF2095">
            <w:pPr>
              <w:jc w:val="center"/>
              <w:rPr>
                <w:sz w:val="32"/>
                <w:szCs w:val="32"/>
              </w:rPr>
            </w:pPr>
          </w:p>
        </w:tc>
        <w:tc>
          <w:tcPr>
            <w:tcW w:w="1736" w:type="dxa"/>
            <w:vAlign w:val="center"/>
          </w:tcPr>
          <w:p w14:paraId="331803DC" w14:textId="2F893CA8" w:rsidR="008702BC" w:rsidRPr="004F5A6C" w:rsidRDefault="008702BC" w:rsidP="00EF2095">
            <w:pPr>
              <w:jc w:val="center"/>
              <w:rPr>
                <w:b/>
              </w:rPr>
            </w:pPr>
            <w:r w:rsidRPr="004F5A6C">
              <w:rPr>
                <w:b/>
              </w:rPr>
              <w:t>Sheltered Workshop</w:t>
            </w:r>
          </w:p>
        </w:tc>
        <w:tc>
          <w:tcPr>
            <w:tcW w:w="1606" w:type="dxa"/>
            <w:vAlign w:val="center"/>
          </w:tcPr>
          <w:p w14:paraId="3B58DBF3" w14:textId="1DEF06B9" w:rsidR="008702BC" w:rsidRPr="004F5A6C" w:rsidRDefault="008702BC" w:rsidP="00EF2095">
            <w:pPr>
              <w:jc w:val="center"/>
              <w:rPr>
                <w:b/>
              </w:rPr>
            </w:pPr>
            <w:r w:rsidRPr="004F5A6C">
              <w:rPr>
                <w:b/>
              </w:rPr>
              <w:t>Individual</w:t>
            </w:r>
            <w:r w:rsidR="00EF2095">
              <w:rPr>
                <w:b/>
              </w:rPr>
              <w:t xml:space="preserve"> </w:t>
            </w:r>
            <w:r w:rsidRPr="004F5A6C">
              <w:rPr>
                <w:b/>
              </w:rPr>
              <w:t>Job</w:t>
            </w:r>
          </w:p>
        </w:tc>
        <w:tc>
          <w:tcPr>
            <w:tcW w:w="1606" w:type="dxa"/>
            <w:vAlign w:val="center"/>
          </w:tcPr>
          <w:p w14:paraId="5AFAC8A0" w14:textId="575FBF02" w:rsidR="008702BC" w:rsidRPr="004F5A6C" w:rsidRDefault="008702BC" w:rsidP="00EF2095">
            <w:pPr>
              <w:jc w:val="center"/>
              <w:rPr>
                <w:b/>
              </w:rPr>
            </w:pPr>
            <w:r w:rsidRPr="004F5A6C">
              <w:rPr>
                <w:b/>
              </w:rPr>
              <w:t>Off-Site Group</w:t>
            </w:r>
          </w:p>
        </w:tc>
        <w:tc>
          <w:tcPr>
            <w:tcW w:w="1606" w:type="dxa"/>
            <w:vAlign w:val="center"/>
          </w:tcPr>
          <w:p w14:paraId="61EF89AD" w14:textId="3BEDBBD0" w:rsidR="008702BC" w:rsidRPr="004F5A6C" w:rsidRDefault="008702BC" w:rsidP="00EF2095">
            <w:pPr>
              <w:jc w:val="center"/>
              <w:rPr>
                <w:b/>
              </w:rPr>
            </w:pPr>
            <w:r w:rsidRPr="004F5A6C">
              <w:rPr>
                <w:b/>
              </w:rPr>
              <w:t>Non-employment Day</w:t>
            </w:r>
          </w:p>
        </w:tc>
        <w:tc>
          <w:tcPr>
            <w:tcW w:w="1606" w:type="dxa"/>
            <w:vAlign w:val="center"/>
          </w:tcPr>
          <w:p w14:paraId="714FA8CD" w14:textId="274AB61D" w:rsidR="008702BC" w:rsidRPr="004F5A6C" w:rsidRDefault="008702BC" w:rsidP="00EF2095">
            <w:pPr>
              <w:jc w:val="center"/>
              <w:rPr>
                <w:b/>
              </w:rPr>
            </w:pPr>
            <w:r w:rsidRPr="004F5A6C">
              <w:rPr>
                <w:b/>
              </w:rPr>
              <w:t>ATE</w:t>
            </w:r>
          </w:p>
        </w:tc>
      </w:tr>
      <w:tr w:rsidR="001B0694" w:rsidRPr="004F5A6C" w14:paraId="0B9D5CFF" w14:textId="180BB870" w:rsidTr="00EF2095">
        <w:trPr>
          <w:trHeight w:val="813"/>
          <w:tblHeader/>
        </w:trPr>
        <w:tc>
          <w:tcPr>
            <w:tcW w:w="1435" w:type="dxa"/>
            <w:vAlign w:val="center"/>
          </w:tcPr>
          <w:p w14:paraId="31D69C59" w14:textId="3BF11594" w:rsidR="001B0694" w:rsidRPr="004F5A6C" w:rsidRDefault="001B0694" w:rsidP="00EF2095">
            <w:pPr>
              <w:jc w:val="center"/>
              <w:rPr>
                <w:b/>
                <w:bCs/>
              </w:rPr>
            </w:pPr>
            <w:r w:rsidRPr="004F5A6C">
              <w:rPr>
                <w:b/>
                <w:bCs/>
              </w:rPr>
              <w:t>Own Legal Guardian</w:t>
            </w:r>
          </w:p>
        </w:tc>
        <w:tc>
          <w:tcPr>
            <w:tcW w:w="1736" w:type="dxa"/>
            <w:vAlign w:val="center"/>
          </w:tcPr>
          <w:p w14:paraId="1138DA00" w14:textId="19CCF641" w:rsidR="001B0694" w:rsidRPr="004F5A6C" w:rsidRDefault="00DD27DD" w:rsidP="00EF2095">
            <w:pPr>
              <w:jc w:val="center"/>
            </w:pPr>
            <w:r w:rsidRPr="004F5A6C">
              <w:rPr>
                <w:color w:val="000000"/>
              </w:rPr>
              <w:t>45</w:t>
            </w:r>
            <w:r w:rsidR="001B0694" w:rsidRPr="004F5A6C">
              <w:rPr>
                <w:color w:val="000000"/>
              </w:rPr>
              <w:t>%</w:t>
            </w:r>
          </w:p>
        </w:tc>
        <w:tc>
          <w:tcPr>
            <w:tcW w:w="1606" w:type="dxa"/>
            <w:vAlign w:val="center"/>
          </w:tcPr>
          <w:p w14:paraId="4D0FF968" w14:textId="3DCED382" w:rsidR="001B0694" w:rsidRPr="004F5A6C" w:rsidRDefault="001B0694" w:rsidP="00EF2095">
            <w:pPr>
              <w:jc w:val="center"/>
            </w:pPr>
            <w:r w:rsidRPr="004F5A6C">
              <w:rPr>
                <w:color w:val="000000"/>
              </w:rPr>
              <w:t>5</w:t>
            </w:r>
            <w:r w:rsidR="008D58AD" w:rsidRPr="004F5A6C">
              <w:rPr>
                <w:color w:val="000000"/>
              </w:rPr>
              <w:t>9</w:t>
            </w:r>
            <w:r w:rsidRPr="004F5A6C">
              <w:rPr>
                <w:color w:val="000000"/>
              </w:rPr>
              <w:t>%</w:t>
            </w:r>
          </w:p>
        </w:tc>
        <w:tc>
          <w:tcPr>
            <w:tcW w:w="1606" w:type="dxa"/>
            <w:vAlign w:val="center"/>
          </w:tcPr>
          <w:p w14:paraId="78DFE897" w14:textId="23AA149E" w:rsidR="001B0694" w:rsidRPr="004F5A6C" w:rsidRDefault="001B0694" w:rsidP="00EF2095">
            <w:pPr>
              <w:jc w:val="center"/>
            </w:pPr>
            <w:r w:rsidRPr="004F5A6C">
              <w:rPr>
                <w:color w:val="000000"/>
              </w:rPr>
              <w:t>6</w:t>
            </w:r>
            <w:r w:rsidR="00DD27DD" w:rsidRPr="004F5A6C">
              <w:rPr>
                <w:color w:val="000000"/>
              </w:rPr>
              <w:t>0</w:t>
            </w:r>
            <w:r w:rsidRPr="004F5A6C">
              <w:rPr>
                <w:color w:val="000000"/>
              </w:rPr>
              <w:t>%</w:t>
            </w:r>
          </w:p>
        </w:tc>
        <w:tc>
          <w:tcPr>
            <w:tcW w:w="1606" w:type="dxa"/>
            <w:vAlign w:val="center"/>
          </w:tcPr>
          <w:p w14:paraId="40EAD294" w14:textId="6EED344A" w:rsidR="001B0694" w:rsidRPr="004F5A6C" w:rsidRDefault="00DD27DD" w:rsidP="00EF2095">
            <w:pPr>
              <w:jc w:val="center"/>
            </w:pPr>
            <w:r w:rsidRPr="004F5A6C">
              <w:rPr>
                <w:color w:val="000000"/>
              </w:rPr>
              <w:t>31</w:t>
            </w:r>
            <w:r w:rsidR="001B0694" w:rsidRPr="004F5A6C">
              <w:rPr>
                <w:color w:val="000000"/>
              </w:rPr>
              <w:t>%</w:t>
            </w:r>
          </w:p>
        </w:tc>
        <w:tc>
          <w:tcPr>
            <w:tcW w:w="1606" w:type="dxa"/>
            <w:vAlign w:val="center"/>
          </w:tcPr>
          <w:p w14:paraId="14AF4CD3" w14:textId="1607A8A4" w:rsidR="001B0694" w:rsidRPr="004F5A6C" w:rsidRDefault="008D58AD" w:rsidP="00EF2095">
            <w:pPr>
              <w:jc w:val="center"/>
              <w:rPr>
                <w:color w:val="000000"/>
              </w:rPr>
            </w:pPr>
            <w:r w:rsidRPr="004F5A6C">
              <w:rPr>
                <w:color w:val="000000"/>
              </w:rPr>
              <w:t>63</w:t>
            </w:r>
            <w:r w:rsidR="001B0694" w:rsidRPr="004F5A6C">
              <w:rPr>
                <w:color w:val="000000"/>
              </w:rPr>
              <w:t>%</w:t>
            </w:r>
          </w:p>
        </w:tc>
      </w:tr>
      <w:tr w:rsidR="001B0694" w:rsidRPr="004F5A6C" w14:paraId="6F58BBC4" w14:textId="2422ED9B" w:rsidTr="00EF2095">
        <w:trPr>
          <w:trHeight w:val="468"/>
          <w:tblHeader/>
        </w:trPr>
        <w:tc>
          <w:tcPr>
            <w:tcW w:w="1435" w:type="dxa"/>
            <w:vAlign w:val="center"/>
          </w:tcPr>
          <w:p w14:paraId="28FB48EC" w14:textId="35CDCF1E" w:rsidR="001B0694" w:rsidRPr="004F5A6C" w:rsidRDefault="001B0694" w:rsidP="00EF2095">
            <w:pPr>
              <w:jc w:val="center"/>
              <w:rPr>
                <w:b/>
                <w:bCs/>
              </w:rPr>
            </w:pPr>
            <w:r w:rsidRPr="004F5A6C">
              <w:rPr>
                <w:b/>
                <w:bCs/>
              </w:rPr>
              <w:t>No</w:t>
            </w:r>
          </w:p>
        </w:tc>
        <w:tc>
          <w:tcPr>
            <w:tcW w:w="1736" w:type="dxa"/>
            <w:vAlign w:val="center"/>
          </w:tcPr>
          <w:p w14:paraId="4B296066" w14:textId="642C7B2A" w:rsidR="001B0694" w:rsidRPr="004F5A6C" w:rsidRDefault="001B0694" w:rsidP="00EF2095">
            <w:pPr>
              <w:jc w:val="center"/>
            </w:pPr>
            <w:r w:rsidRPr="004F5A6C">
              <w:rPr>
                <w:color w:val="000000"/>
              </w:rPr>
              <w:t>4</w:t>
            </w:r>
            <w:r w:rsidR="00DD27DD" w:rsidRPr="004F5A6C">
              <w:rPr>
                <w:color w:val="000000"/>
              </w:rPr>
              <w:t>7</w:t>
            </w:r>
            <w:r w:rsidRPr="004F5A6C">
              <w:rPr>
                <w:color w:val="000000"/>
              </w:rPr>
              <w:t>%</w:t>
            </w:r>
          </w:p>
        </w:tc>
        <w:tc>
          <w:tcPr>
            <w:tcW w:w="1606" w:type="dxa"/>
            <w:vAlign w:val="center"/>
          </w:tcPr>
          <w:p w14:paraId="0D63FAA8" w14:textId="7CA91DFC" w:rsidR="001B0694" w:rsidRPr="004F5A6C" w:rsidRDefault="008D58AD" w:rsidP="00EF2095">
            <w:pPr>
              <w:jc w:val="center"/>
            </w:pPr>
            <w:r w:rsidRPr="004F5A6C">
              <w:rPr>
                <w:color w:val="000000"/>
              </w:rPr>
              <w:t>41</w:t>
            </w:r>
            <w:r w:rsidR="001B0694" w:rsidRPr="004F5A6C">
              <w:rPr>
                <w:color w:val="000000"/>
              </w:rPr>
              <w:t>%</w:t>
            </w:r>
          </w:p>
        </w:tc>
        <w:tc>
          <w:tcPr>
            <w:tcW w:w="1606" w:type="dxa"/>
            <w:vAlign w:val="center"/>
          </w:tcPr>
          <w:p w14:paraId="4F93AB17" w14:textId="53003222" w:rsidR="001B0694" w:rsidRPr="004F5A6C" w:rsidRDefault="00DD27DD" w:rsidP="00EF2095">
            <w:pPr>
              <w:jc w:val="center"/>
            </w:pPr>
            <w:r w:rsidRPr="004F5A6C">
              <w:rPr>
                <w:color w:val="000000"/>
              </w:rPr>
              <w:t>32</w:t>
            </w:r>
            <w:r w:rsidR="001B0694" w:rsidRPr="004F5A6C">
              <w:rPr>
                <w:color w:val="000000"/>
              </w:rPr>
              <w:t>%</w:t>
            </w:r>
          </w:p>
        </w:tc>
        <w:tc>
          <w:tcPr>
            <w:tcW w:w="1606" w:type="dxa"/>
            <w:vAlign w:val="center"/>
          </w:tcPr>
          <w:p w14:paraId="6F1763B3" w14:textId="521C903A" w:rsidR="001B0694" w:rsidRPr="004F5A6C" w:rsidRDefault="00DD27DD" w:rsidP="00EF2095">
            <w:pPr>
              <w:jc w:val="center"/>
            </w:pPr>
            <w:r w:rsidRPr="004F5A6C">
              <w:rPr>
                <w:color w:val="000000"/>
              </w:rPr>
              <w:t>62</w:t>
            </w:r>
            <w:r w:rsidR="001B0694" w:rsidRPr="004F5A6C">
              <w:rPr>
                <w:color w:val="000000"/>
              </w:rPr>
              <w:t>%</w:t>
            </w:r>
          </w:p>
        </w:tc>
        <w:tc>
          <w:tcPr>
            <w:tcW w:w="1606" w:type="dxa"/>
            <w:vAlign w:val="center"/>
          </w:tcPr>
          <w:p w14:paraId="6B021A90" w14:textId="22A4A22D" w:rsidR="001B0694" w:rsidRPr="004F5A6C" w:rsidRDefault="008D58AD" w:rsidP="00EF2095">
            <w:pPr>
              <w:jc w:val="center"/>
              <w:rPr>
                <w:color w:val="000000"/>
              </w:rPr>
            </w:pPr>
            <w:r w:rsidRPr="004F5A6C">
              <w:rPr>
                <w:color w:val="000000"/>
              </w:rPr>
              <w:t>30</w:t>
            </w:r>
            <w:r w:rsidR="001B0694" w:rsidRPr="004F5A6C">
              <w:rPr>
                <w:color w:val="000000"/>
              </w:rPr>
              <w:t>%</w:t>
            </w:r>
          </w:p>
        </w:tc>
      </w:tr>
      <w:tr w:rsidR="001B0694" w:rsidRPr="004F5A6C" w14:paraId="09B5B8AA" w14:textId="4AC1FC8D" w:rsidTr="00EF2095">
        <w:trPr>
          <w:trHeight w:val="475"/>
          <w:tblHeader/>
        </w:trPr>
        <w:tc>
          <w:tcPr>
            <w:tcW w:w="1435" w:type="dxa"/>
            <w:vAlign w:val="center"/>
          </w:tcPr>
          <w:p w14:paraId="0631968E" w14:textId="7B474CB4" w:rsidR="001B0694" w:rsidRPr="004F5A6C" w:rsidRDefault="001B0694" w:rsidP="00EF2095">
            <w:pPr>
              <w:jc w:val="center"/>
              <w:rPr>
                <w:b/>
                <w:bCs/>
              </w:rPr>
            </w:pPr>
            <w:r w:rsidRPr="004F5A6C">
              <w:rPr>
                <w:b/>
                <w:bCs/>
              </w:rPr>
              <w:t>Partial</w:t>
            </w:r>
          </w:p>
        </w:tc>
        <w:tc>
          <w:tcPr>
            <w:tcW w:w="1736" w:type="dxa"/>
            <w:vAlign w:val="center"/>
          </w:tcPr>
          <w:p w14:paraId="37696C40" w14:textId="197DE46F" w:rsidR="001B0694" w:rsidRPr="004F5A6C" w:rsidRDefault="001B0694" w:rsidP="00EF2095">
            <w:pPr>
              <w:jc w:val="center"/>
            </w:pPr>
            <w:r w:rsidRPr="004F5A6C">
              <w:rPr>
                <w:color w:val="000000"/>
              </w:rPr>
              <w:t>8%</w:t>
            </w:r>
          </w:p>
        </w:tc>
        <w:tc>
          <w:tcPr>
            <w:tcW w:w="1606" w:type="dxa"/>
            <w:vAlign w:val="center"/>
          </w:tcPr>
          <w:p w14:paraId="626AA299" w14:textId="619B0C11" w:rsidR="001B0694" w:rsidRPr="004F5A6C" w:rsidRDefault="008D58AD" w:rsidP="00EF2095">
            <w:pPr>
              <w:jc w:val="center"/>
            </w:pPr>
            <w:r w:rsidRPr="004F5A6C">
              <w:rPr>
                <w:color w:val="000000"/>
              </w:rPr>
              <w:t>0</w:t>
            </w:r>
            <w:r w:rsidR="001B0694" w:rsidRPr="004F5A6C">
              <w:rPr>
                <w:color w:val="000000"/>
              </w:rPr>
              <w:t>%</w:t>
            </w:r>
          </w:p>
        </w:tc>
        <w:tc>
          <w:tcPr>
            <w:tcW w:w="1606" w:type="dxa"/>
            <w:vAlign w:val="center"/>
          </w:tcPr>
          <w:p w14:paraId="2FECAF22" w14:textId="3B1198E4" w:rsidR="001B0694" w:rsidRPr="004F5A6C" w:rsidRDefault="00DD27DD" w:rsidP="00EF2095">
            <w:pPr>
              <w:jc w:val="center"/>
            </w:pPr>
            <w:r w:rsidRPr="004F5A6C">
              <w:rPr>
                <w:color w:val="000000"/>
              </w:rPr>
              <w:t>8</w:t>
            </w:r>
            <w:r w:rsidR="001B0694" w:rsidRPr="004F5A6C">
              <w:rPr>
                <w:color w:val="000000"/>
              </w:rPr>
              <w:t>%</w:t>
            </w:r>
          </w:p>
        </w:tc>
        <w:tc>
          <w:tcPr>
            <w:tcW w:w="1606" w:type="dxa"/>
            <w:vAlign w:val="center"/>
          </w:tcPr>
          <w:p w14:paraId="2607863E" w14:textId="4B3EAF15" w:rsidR="001B0694" w:rsidRPr="0009323F" w:rsidRDefault="0009323F" w:rsidP="00EF2095">
            <w:pPr>
              <w:jc w:val="center"/>
              <w:rPr>
                <w:bCs/>
              </w:rPr>
            </w:pPr>
            <w:r w:rsidRPr="0009323F">
              <w:rPr>
                <w:bCs/>
                <w:color w:val="000000" w:themeColor="text1"/>
              </w:rPr>
              <w:t>6%</w:t>
            </w:r>
          </w:p>
        </w:tc>
        <w:tc>
          <w:tcPr>
            <w:tcW w:w="1606" w:type="dxa"/>
            <w:vAlign w:val="center"/>
          </w:tcPr>
          <w:p w14:paraId="0F0278FA" w14:textId="6F4091FD" w:rsidR="001B0694" w:rsidRPr="004F5A6C" w:rsidRDefault="008D58AD" w:rsidP="00EF2095">
            <w:pPr>
              <w:jc w:val="center"/>
              <w:rPr>
                <w:color w:val="000000"/>
              </w:rPr>
            </w:pPr>
            <w:r w:rsidRPr="004F5A6C">
              <w:rPr>
                <w:color w:val="000000"/>
              </w:rPr>
              <w:t>7</w:t>
            </w:r>
            <w:r w:rsidR="001B0694" w:rsidRPr="004F5A6C">
              <w:rPr>
                <w:color w:val="000000"/>
              </w:rPr>
              <w:t>%</w:t>
            </w:r>
          </w:p>
        </w:tc>
      </w:tr>
    </w:tbl>
    <w:p w14:paraId="2D7A2E12" w14:textId="3B77CE30" w:rsidR="000D0467" w:rsidRPr="004F5A6C" w:rsidRDefault="00870ADB" w:rsidP="00776B41">
      <w:pPr>
        <w:pStyle w:val="Heading3"/>
      </w:pPr>
      <w:r>
        <w:lastRenderedPageBreak/>
        <w:t xml:space="preserve">Table 4. </w:t>
      </w:r>
      <w:r w:rsidR="000D0467" w:rsidRPr="004F5A6C">
        <w:t xml:space="preserve">Social </w:t>
      </w:r>
      <w:r w:rsidR="000D0467" w:rsidRPr="00776B41">
        <w:t>Interactions</w:t>
      </w:r>
      <w:r w:rsidR="000D0467" w:rsidRPr="004F5A6C">
        <w:t xml:space="preserve"> by Settings</w:t>
      </w:r>
    </w:p>
    <w:p w14:paraId="389C21CC" w14:textId="6821CC31" w:rsidR="000D0467" w:rsidRPr="004F5A6C" w:rsidRDefault="00764604">
      <w:pPr>
        <w:rPr>
          <w:rFonts w:eastAsia="Calibri" w:cstheme="minorBidi"/>
          <w:spacing w:val="-2"/>
        </w:rPr>
      </w:pPr>
      <w:r w:rsidRPr="004F5A6C">
        <w:rPr>
          <w:rFonts w:eastAsia="Calibri" w:cstheme="minorBidi"/>
          <w:spacing w:val="-2"/>
        </w:rPr>
        <w:t xml:space="preserve">This question is designed to identify the degree to which the individual interacts with </w:t>
      </w:r>
      <w:r w:rsidR="00BB7A7E">
        <w:rPr>
          <w:rFonts w:eastAsia="Calibri" w:cstheme="minorBidi"/>
          <w:spacing w:val="-2"/>
        </w:rPr>
        <w:t xml:space="preserve">persons </w:t>
      </w:r>
      <w:r w:rsidRPr="004F5A6C">
        <w:rPr>
          <w:rFonts w:eastAsia="Calibri" w:cstheme="minorBidi"/>
          <w:spacing w:val="-2"/>
        </w:rPr>
        <w:t>without disabilities who are not paid to provide support to the individual. The responses reflect what is occurring in this environment.</w:t>
      </w:r>
    </w:p>
    <w:tbl>
      <w:tblPr>
        <w:tblStyle w:val="TableGrid"/>
        <w:tblW w:w="9445" w:type="dxa"/>
        <w:tblLook w:val="04A0" w:firstRow="1" w:lastRow="0" w:firstColumn="1" w:lastColumn="0" w:noHBand="0" w:noVBand="1"/>
        <w:tblDescription w:val="This table provides data on social interactions with people without disabilities across the different employment models on a scale from &quot;rarely interacts&quot; to &quot;frequently interacts&quot;."/>
      </w:tblPr>
      <w:tblGrid>
        <w:gridCol w:w="3235"/>
        <w:gridCol w:w="1530"/>
        <w:gridCol w:w="1530"/>
        <w:gridCol w:w="1620"/>
        <w:gridCol w:w="1530"/>
      </w:tblGrid>
      <w:tr w:rsidR="002B2DCD" w:rsidRPr="004F5A6C" w14:paraId="225023E6" w14:textId="744756E2" w:rsidTr="005F6E5B">
        <w:trPr>
          <w:tblHeader/>
        </w:trPr>
        <w:tc>
          <w:tcPr>
            <w:tcW w:w="3235" w:type="dxa"/>
            <w:vAlign w:val="center"/>
          </w:tcPr>
          <w:p w14:paraId="1B105E9D" w14:textId="77777777" w:rsidR="002B2DCD" w:rsidRPr="004F5A6C" w:rsidRDefault="002B2DCD" w:rsidP="00612398">
            <w:pPr>
              <w:jc w:val="center"/>
            </w:pPr>
          </w:p>
        </w:tc>
        <w:tc>
          <w:tcPr>
            <w:tcW w:w="1530" w:type="dxa"/>
            <w:shd w:val="clear" w:color="auto" w:fill="E2EFD9" w:themeFill="accent6" w:themeFillTint="33"/>
            <w:vAlign w:val="center"/>
          </w:tcPr>
          <w:p w14:paraId="5E0A5EF0" w14:textId="2B62B37F" w:rsidR="002B2DCD" w:rsidRPr="004F5A6C" w:rsidRDefault="002B2DCD" w:rsidP="00612398">
            <w:pPr>
              <w:jc w:val="center"/>
              <w:rPr>
                <w:b/>
              </w:rPr>
            </w:pPr>
            <w:r w:rsidRPr="004F5A6C">
              <w:rPr>
                <w:b/>
              </w:rPr>
              <w:t>Sheltered Workshop</w:t>
            </w:r>
          </w:p>
        </w:tc>
        <w:tc>
          <w:tcPr>
            <w:tcW w:w="1530" w:type="dxa"/>
            <w:shd w:val="clear" w:color="auto" w:fill="E2EFD9" w:themeFill="accent6" w:themeFillTint="33"/>
            <w:vAlign w:val="center"/>
          </w:tcPr>
          <w:p w14:paraId="4EE8F5FA" w14:textId="64DA6446" w:rsidR="002B2DCD" w:rsidRPr="004F5A6C" w:rsidRDefault="002B2DCD" w:rsidP="00612398">
            <w:pPr>
              <w:jc w:val="center"/>
              <w:rPr>
                <w:b/>
              </w:rPr>
            </w:pPr>
            <w:r w:rsidRPr="004F5A6C">
              <w:rPr>
                <w:b/>
              </w:rPr>
              <w:t>Individual Job</w:t>
            </w:r>
          </w:p>
        </w:tc>
        <w:tc>
          <w:tcPr>
            <w:tcW w:w="1620" w:type="dxa"/>
            <w:shd w:val="clear" w:color="auto" w:fill="E2EFD9" w:themeFill="accent6" w:themeFillTint="33"/>
            <w:vAlign w:val="center"/>
          </w:tcPr>
          <w:p w14:paraId="5A315B06" w14:textId="690CCEB4" w:rsidR="002B2DCD" w:rsidRPr="004F5A6C" w:rsidRDefault="002B2DCD" w:rsidP="00612398">
            <w:pPr>
              <w:jc w:val="center"/>
              <w:rPr>
                <w:b/>
              </w:rPr>
            </w:pPr>
            <w:r w:rsidRPr="004F5A6C">
              <w:rPr>
                <w:b/>
              </w:rPr>
              <w:t>Off-Site Group</w:t>
            </w:r>
          </w:p>
        </w:tc>
        <w:tc>
          <w:tcPr>
            <w:tcW w:w="1530" w:type="dxa"/>
            <w:shd w:val="clear" w:color="auto" w:fill="E2EFD9" w:themeFill="accent6" w:themeFillTint="33"/>
            <w:vAlign w:val="center"/>
          </w:tcPr>
          <w:p w14:paraId="327DE1E7" w14:textId="632D887F" w:rsidR="002B2DCD" w:rsidRPr="004F5A6C" w:rsidRDefault="002B2DCD" w:rsidP="00612398">
            <w:pPr>
              <w:jc w:val="center"/>
              <w:rPr>
                <w:b/>
              </w:rPr>
            </w:pPr>
            <w:r w:rsidRPr="004F5A6C">
              <w:rPr>
                <w:b/>
              </w:rPr>
              <w:t>Non-employ Day</w:t>
            </w:r>
          </w:p>
        </w:tc>
      </w:tr>
      <w:tr w:rsidR="002B2DCD" w:rsidRPr="004F5A6C" w14:paraId="14AC3DD5" w14:textId="0DD64DA4" w:rsidTr="005F6E5B">
        <w:trPr>
          <w:tblHeader/>
        </w:trPr>
        <w:tc>
          <w:tcPr>
            <w:tcW w:w="3235" w:type="dxa"/>
            <w:vAlign w:val="center"/>
          </w:tcPr>
          <w:p w14:paraId="2FB640E5" w14:textId="343A368D" w:rsidR="002B2DCD" w:rsidRPr="004F5A6C" w:rsidRDefault="002B2DCD" w:rsidP="00612398">
            <w:pPr>
              <w:jc w:val="center"/>
              <w:rPr>
                <w:sz w:val="22"/>
                <w:szCs w:val="22"/>
              </w:rPr>
            </w:pPr>
            <w:r w:rsidRPr="004F5A6C">
              <w:rPr>
                <w:rFonts w:cs="Calibri"/>
                <w:color w:val="000000"/>
                <w:sz w:val="22"/>
                <w:szCs w:val="22"/>
              </w:rPr>
              <w:t>Rarely, If ever</w:t>
            </w:r>
          </w:p>
        </w:tc>
        <w:tc>
          <w:tcPr>
            <w:tcW w:w="1530" w:type="dxa"/>
            <w:vAlign w:val="center"/>
          </w:tcPr>
          <w:p w14:paraId="7DE468B4" w14:textId="10610F18" w:rsidR="002B2DCD" w:rsidRPr="004F5A6C" w:rsidRDefault="002B2DCD" w:rsidP="00612398">
            <w:pPr>
              <w:jc w:val="center"/>
              <w:rPr>
                <w:sz w:val="22"/>
                <w:szCs w:val="22"/>
              </w:rPr>
            </w:pPr>
            <w:r w:rsidRPr="004F5A6C">
              <w:rPr>
                <w:rFonts w:cs="Calibri"/>
                <w:color w:val="000000"/>
                <w:sz w:val="22"/>
                <w:szCs w:val="22"/>
              </w:rPr>
              <w:t>1</w:t>
            </w:r>
            <w:r>
              <w:rPr>
                <w:rFonts w:cs="Calibri"/>
                <w:color w:val="000000"/>
                <w:sz w:val="22"/>
                <w:szCs w:val="22"/>
              </w:rPr>
              <w:t>2</w:t>
            </w:r>
            <w:r w:rsidRPr="004F5A6C">
              <w:rPr>
                <w:rFonts w:cs="Calibri"/>
                <w:color w:val="000000"/>
                <w:sz w:val="22"/>
                <w:szCs w:val="22"/>
              </w:rPr>
              <w:t>%</w:t>
            </w:r>
          </w:p>
        </w:tc>
        <w:tc>
          <w:tcPr>
            <w:tcW w:w="1530" w:type="dxa"/>
            <w:vAlign w:val="center"/>
          </w:tcPr>
          <w:p w14:paraId="3E91C796" w14:textId="768CB2D4" w:rsidR="002B2DCD" w:rsidRPr="004F5A6C" w:rsidRDefault="002B2DCD" w:rsidP="00612398">
            <w:pPr>
              <w:jc w:val="center"/>
              <w:rPr>
                <w:sz w:val="22"/>
                <w:szCs w:val="22"/>
              </w:rPr>
            </w:pPr>
            <w:r>
              <w:rPr>
                <w:rFonts w:cs="Calibri"/>
                <w:color w:val="000000"/>
                <w:sz w:val="22"/>
                <w:szCs w:val="22"/>
              </w:rPr>
              <w:t>2</w:t>
            </w:r>
            <w:r w:rsidRPr="004F5A6C">
              <w:rPr>
                <w:rFonts w:cs="Calibri"/>
                <w:color w:val="000000"/>
                <w:sz w:val="22"/>
                <w:szCs w:val="22"/>
              </w:rPr>
              <w:t>%</w:t>
            </w:r>
          </w:p>
        </w:tc>
        <w:tc>
          <w:tcPr>
            <w:tcW w:w="1620" w:type="dxa"/>
            <w:vAlign w:val="center"/>
          </w:tcPr>
          <w:p w14:paraId="79A2AB9E" w14:textId="606A553F" w:rsidR="002B2DCD" w:rsidRPr="004F5A6C" w:rsidRDefault="002B2DCD" w:rsidP="00612398">
            <w:pPr>
              <w:jc w:val="center"/>
              <w:rPr>
                <w:sz w:val="22"/>
                <w:szCs w:val="22"/>
              </w:rPr>
            </w:pPr>
            <w:r>
              <w:rPr>
                <w:rFonts w:cs="Calibri"/>
                <w:color w:val="000000"/>
                <w:sz w:val="22"/>
                <w:szCs w:val="22"/>
              </w:rPr>
              <w:t>4</w:t>
            </w:r>
            <w:r w:rsidRPr="004F5A6C">
              <w:rPr>
                <w:rFonts w:cs="Calibri"/>
                <w:color w:val="000000"/>
                <w:sz w:val="22"/>
                <w:szCs w:val="22"/>
              </w:rPr>
              <w:t>%</w:t>
            </w:r>
          </w:p>
        </w:tc>
        <w:tc>
          <w:tcPr>
            <w:tcW w:w="1530" w:type="dxa"/>
            <w:vAlign w:val="center"/>
          </w:tcPr>
          <w:p w14:paraId="709EBC57" w14:textId="6A5535FD" w:rsidR="002B2DCD" w:rsidRPr="004F5A6C" w:rsidRDefault="002B2DCD" w:rsidP="00612398">
            <w:pPr>
              <w:jc w:val="center"/>
              <w:rPr>
                <w:sz w:val="22"/>
                <w:szCs w:val="22"/>
              </w:rPr>
            </w:pPr>
            <w:r w:rsidRPr="004F5A6C">
              <w:rPr>
                <w:rFonts w:cs="Calibri"/>
                <w:color w:val="000000"/>
                <w:sz w:val="22"/>
                <w:szCs w:val="22"/>
              </w:rPr>
              <w:t>1</w:t>
            </w:r>
            <w:r>
              <w:rPr>
                <w:rFonts w:cs="Calibri"/>
                <w:color w:val="000000"/>
                <w:sz w:val="22"/>
                <w:szCs w:val="22"/>
              </w:rPr>
              <w:t>7</w:t>
            </w:r>
            <w:r w:rsidRPr="004F5A6C">
              <w:rPr>
                <w:rFonts w:cs="Calibri"/>
                <w:color w:val="000000"/>
                <w:sz w:val="22"/>
                <w:szCs w:val="22"/>
              </w:rPr>
              <w:t>%</w:t>
            </w:r>
          </w:p>
        </w:tc>
      </w:tr>
      <w:tr w:rsidR="002B2DCD" w:rsidRPr="004F5A6C" w14:paraId="215EDD45" w14:textId="0972916A" w:rsidTr="005F6E5B">
        <w:trPr>
          <w:tblHeader/>
        </w:trPr>
        <w:tc>
          <w:tcPr>
            <w:tcW w:w="3235" w:type="dxa"/>
            <w:vAlign w:val="center"/>
          </w:tcPr>
          <w:p w14:paraId="2D60AAF1" w14:textId="384B9085" w:rsidR="002B2DCD" w:rsidRPr="004F5A6C" w:rsidRDefault="002B2DCD" w:rsidP="00612398">
            <w:pPr>
              <w:jc w:val="center"/>
              <w:rPr>
                <w:sz w:val="22"/>
                <w:szCs w:val="22"/>
              </w:rPr>
            </w:pPr>
            <w:r w:rsidRPr="004F5A6C">
              <w:rPr>
                <w:rFonts w:cs="Calibri"/>
                <w:color w:val="000000"/>
                <w:sz w:val="22"/>
                <w:szCs w:val="22"/>
              </w:rPr>
              <w:t>Exchange greetings/brief interactions</w:t>
            </w:r>
          </w:p>
        </w:tc>
        <w:tc>
          <w:tcPr>
            <w:tcW w:w="1530" w:type="dxa"/>
            <w:vAlign w:val="center"/>
          </w:tcPr>
          <w:p w14:paraId="708AB14B" w14:textId="62051E86" w:rsidR="002B2DCD" w:rsidRPr="004F5A6C" w:rsidRDefault="002B2DCD" w:rsidP="00612398">
            <w:pPr>
              <w:jc w:val="center"/>
              <w:rPr>
                <w:sz w:val="22"/>
                <w:szCs w:val="22"/>
              </w:rPr>
            </w:pPr>
            <w:r w:rsidRPr="004F5A6C">
              <w:rPr>
                <w:rFonts w:cs="Calibri"/>
                <w:color w:val="000000"/>
                <w:sz w:val="22"/>
                <w:szCs w:val="22"/>
              </w:rPr>
              <w:t>3</w:t>
            </w:r>
            <w:r>
              <w:rPr>
                <w:rFonts w:cs="Calibri"/>
                <w:color w:val="000000"/>
                <w:sz w:val="22"/>
                <w:szCs w:val="22"/>
              </w:rPr>
              <w:t>1</w:t>
            </w:r>
            <w:r w:rsidRPr="004F5A6C">
              <w:rPr>
                <w:rFonts w:cs="Calibri"/>
                <w:color w:val="000000"/>
                <w:sz w:val="22"/>
                <w:szCs w:val="22"/>
              </w:rPr>
              <w:t>%</w:t>
            </w:r>
          </w:p>
        </w:tc>
        <w:tc>
          <w:tcPr>
            <w:tcW w:w="1530" w:type="dxa"/>
            <w:vAlign w:val="center"/>
          </w:tcPr>
          <w:p w14:paraId="13C090F8" w14:textId="7970DEEE" w:rsidR="002B2DCD" w:rsidRPr="004F5A6C" w:rsidRDefault="002B2DCD" w:rsidP="00612398">
            <w:pPr>
              <w:jc w:val="center"/>
              <w:rPr>
                <w:sz w:val="22"/>
                <w:szCs w:val="22"/>
              </w:rPr>
            </w:pPr>
            <w:r w:rsidRPr="004F5A6C">
              <w:rPr>
                <w:rFonts w:cs="Calibri"/>
                <w:color w:val="000000"/>
                <w:sz w:val="22"/>
                <w:szCs w:val="22"/>
              </w:rPr>
              <w:t>11%</w:t>
            </w:r>
          </w:p>
        </w:tc>
        <w:tc>
          <w:tcPr>
            <w:tcW w:w="1620" w:type="dxa"/>
            <w:vAlign w:val="center"/>
          </w:tcPr>
          <w:p w14:paraId="5D864459" w14:textId="7A255202" w:rsidR="002B2DCD" w:rsidRPr="004F5A6C" w:rsidRDefault="002B2DCD" w:rsidP="00612398">
            <w:pPr>
              <w:jc w:val="center"/>
              <w:rPr>
                <w:sz w:val="22"/>
                <w:szCs w:val="22"/>
              </w:rPr>
            </w:pPr>
            <w:r>
              <w:rPr>
                <w:rFonts w:cs="Calibri"/>
                <w:color w:val="000000"/>
                <w:sz w:val="22"/>
                <w:szCs w:val="22"/>
              </w:rPr>
              <w:t>21</w:t>
            </w:r>
            <w:r w:rsidRPr="004F5A6C">
              <w:rPr>
                <w:rFonts w:cs="Calibri"/>
                <w:color w:val="000000"/>
                <w:sz w:val="22"/>
                <w:szCs w:val="22"/>
              </w:rPr>
              <w:t>%</w:t>
            </w:r>
          </w:p>
        </w:tc>
        <w:tc>
          <w:tcPr>
            <w:tcW w:w="1530" w:type="dxa"/>
            <w:vAlign w:val="center"/>
          </w:tcPr>
          <w:p w14:paraId="02F8E466" w14:textId="04C8192E" w:rsidR="002B2DCD" w:rsidRPr="004F5A6C" w:rsidRDefault="002B2DCD" w:rsidP="00612398">
            <w:pPr>
              <w:jc w:val="center"/>
              <w:rPr>
                <w:sz w:val="22"/>
                <w:szCs w:val="22"/>
              </w:rPr>
            </w:pPr>
            <w:r w:rsidRPr="004F5A6C">
              <w:rPr>
                <w:rFonts w:cs="Calibri"/>
                <w:color w:val="000000"/>
                <w:sz w:val="22"/>
                <w:szCs w:val="22"/>
              </w:rPr>
              <w:t>4</w:t>
            </w:r>
            <w:r>
              <w:rPr>
                <w:rFonts w:cs="Calibri"/>
                <w:color w:val="000000"/>
                <w:sz w:val="22"/>
                <w:szCs w:val="22"/>
              </w:rPr>
              <w:t>1</w:t>
            </w:r>
            <w:r w:rsidRPr="004F5A6C">
              <w:rPr>
                <w:rFonts w:cs="Calibri"/>
                <w:color w:val="000000"/>
                <w:sz w:val="22"/>
                <w:szCs w:val="22"/>
              </w:rPr>
              <w:t>%</w:t>
            </w:r>
          </w:p>
        </w:tc>
      </w:tr>
      <w:tr w:rsidR="002B2DCD" w14:paraId="14C92581" w14:textId="6157935B" w:rsidTr="005F6E5B">
        <w:trPr>
          <w:tblHeader/>
        </w:trPr>
        <w:tc>
          <w:tcPr>
            <w:tcW w:w="3235" w:type="dxa"/>
            <w:vAlign w:val="center"/>
          </w:tcPr>
          <w:p w14:paraId="5E8ED43F" w14:textId="45F41B3A" w:rsidR="002B2DCD" w:rsidRPr="004F5A6C" w:rsidRDefault="002B2DCD" w:rsidP="00612398">
            <w:pPr>
              <w:jc w:val="center"/>
              <w:rPr>
                <w:sz w:val="22"/>
                <w:szCs w:val="22"/>
              </w:rPr>
            </w:pPr>
            <w:r w:rsidRPr="004F5A6C">
              <w:rPr>
                <w:rFonts w:cs="Calibri"/>
                <w:color w:val="000000"/>
                <w:sz w:val="22"/>
                <w:szCs w:val="22"/>
              </w:rPr>
              <w:t>Interactions primarily work related</w:t>
            </w:r>
          </w:p>
        </w:tc>
        <w:tc>
          <w:tcPr>
            <w:tcW w:w="1530" w:type="dxa"/>
            <w:vAlign w:val="center"/>
          </w:tcPr>
          <w:p w14:paraId="28714F54" w14:textId="0B7AB655" w:rsidR="002B2DCD" w:rsidRPr="004F5A6C" w:rsidRDefault="002B2DCD" w:rsidP="00612398">
            <w:pPr>
              <w:jc w:val="center"/>
              <w:rPr>
                <w:sz w:val="22"/>
                <w:szCs w:val="22"/>
              </w:rPr>
            </w:pPr>
            <w:r w:rsidRPr="004F5A6C">
              <w:rPr>
                <w:rFonts w:cs="Calibri"/>
                <w:color w:val="000000"/>
                <w:sz w:val="22"/>
                <w:szCs w:val="22"/>
              </w:rPr>
              <w:t>1</w:t>
            </w:r>
            <w:r>
              <w:rPr>
                <w:rFonts w:cs="Calibri"/>
                <w:color w:val="000000"/>
                <w:sz w:val="22"/>
                <w:szCs w:val="22"/>
              </w:rPr>
              <w:t>4</w:t>
            </w:r>
            <w:r w:rsidRPr="004F5A6C">
              <w:rPr>
                <w:rFonts w:cs="Calibri"/>
                <w:color w:val="000000"/>
                <w:sz w:val="22"/>
                <w:szCs w:val="22"/>
              </w:rPr>
              <w:t>%</w:t>
            </w:r>
          </w:p>
        </w:tc>
        <w:tc>
          <w:tcPr>
            <w:tcW w:w="1530" w:type="dxa"/>
            <w:vAlign w:val="center"/>
          </w:tcPr>
          <w:p w14:paraId="1DFD0636" w14:textId="7DB18C54" w:rsidR="002B2DCD" w:rsidRPr="004F5A6C" w:rsidRDefault="002B2DCD" w:rsidP="00612398">
            <w:pPr>
              <w:jc w:val="center"/>
              <w:rPr>
                <w:sz w:val="22"/>
                <w:szCs w:val="22"/>
              </w:rPr>
            </w:pPr>
            <w:r>
              <w:rPr>
                <w:rFonts w:cs="Calibri"/>
                <w:color w:val="000000"/>
                <w:sz w:val="22"/>
                <w:szCs w:val="22"/>
              </w:rPr>
              <w:t>22</w:t>
            </w:r>
            <w:r w:rsidRPr="004F5A6C">
              <w:rPr>
                <w:rFonts w:cs="Calibri"/>
                <w:color w:val="000000"/>
                <w:sz w:val="22"/>
                <w:szCs w:val="22"/>
              </w:rPr>
              <w:t>%</w:t>
            </w:r>
          </w:p>
        </w:tc>
        <w:tc>
          <w:tcPr>
            <w:tcW w:w="1620" w:type="dxa"/>
            <w:vAlign w:val="center"/>
          </w:tcPr>
          <w:p w14:paraId="0EE3FE0B" w14:textId="1F616E39" w:rsidR="002B2DCD" w:rsidRPr="004F5A6C" w:rsidRDefault="002B2DCD" w:rsidP="00612398">
            <w:pPr>
              <w:jc w:val="center"/>
              <w:rPr>
                <w:sz w:val="22"/>
                <w:szCs w:val="22"/>
              </w:rPr>
            </w:pPr>
            <w:r>
              <w:rPr>
                <w:rFonts w:cs="Calibri"/>
                <w:color w:val="000000"/>
                <w:sz w:val="22"/>
                <w:szCs w:val="22"/>
              </w:rPr>
              <w:t>35</w:t>
            </w:r>
            <w:r w:rsidRPr="004F5A6C">
              <w:rPr>
                <w:rFonts w:cs="Calibri"/>
                <w:color w:val="000000"/>
                <w:sz w:val="22"/>
                <w:szCs w:val="22"/>
              </w:rPr>
              <w:t>%</w:t>
            </w:r>
          </w:p>
        </w:tc>
        <w:tc>
          <w:tcPr>
            <w:tcW w:w="1530" w:type="dxa"/>
            <w:vAlign w:val="center"/>
          </w:tcPr>
          <w:p w14:paraId="5B9596DB" w14:textId="77CE5659" w:rsidR="002B2DCD" w:rsidRPr="004F5A6C" w:rsidRDefault="002B2DCD" w:rsidP="00612398">
            <w:pPr>
              <w:jc w:val="center"/>
              <w:rPr>
                <w:sz w:val="22"/>
                <w:szCs w:val="22"/>
              </w:rPr>
            </w:pPr>
            <w:r w:rsidRPr="004F5A6C">
              <w:rPr>
                <w:rFonts w:cs="Calibri"/>
                <w:color w:val="000000"/>
                <w:sz w:val="22"/>
                <w:szCs w:val="22"/>
              </w:rPr>
              <w:t>4%</w:t>
            </w:r>
          </w:p>
        </w:tc>
      </w:tr>
      <w:tr w:rsidR="002B2DCD" w14:paraId="5A3AE67C" w14:textId="26F26409" w:rsidTr="005F6E5B">
        <w:trPr>
          <w:tblHeader/>
        </w:trPr>
        <w:tc>
          <w:tcPr>
            <w:tcW w:w="3235" w:type="dxa"/>
            <w:vAlign w:val="center"/>
          </w:tcPr>
          <w:p w14:paraId="6EE1EB2C" w14:textId="40C562E7" w:rsidR="002B2DCD" w:rsidRPr="004F5A6C" w:rsidRDefault="002B2DCD" w:rsidP="00612398">
            <w:pPr>
              <w:jc w:val="center"/>
              <w:rPr>
                <w:sz w:val="22"/>
                <w:szCs w:val="22"/>
              </w:rPr>
            </w:pPr>
            <w:r w:rsidRPr="004F5A6C">
              <w:rPr>
                <w:rFonts w:cs="Calibri"/>
                <w:color w:val="000000"/>
                <w:sz w:val="22"/>
                <w:szCs w:val="22"/>
              </w:rPr>
              <w:t>Engages frequently and ongoing with variety of people</w:t>
            </w:r>
          </w:p>
        </w:tc>
        <w:tc>
          <w:tcPr>
            <w:tcW w:w="1530" w:type="dxa"/>
            <w:vAlign w:val="center"/>
          </w:tcPr>
          <w:p w14:paraId="6C07ECC5" w14:textId="41D385C6" w:rsidR="002B2DCD" w:rsidRPr="004F5A6C" w:rsidRDefault="002B2DCD" w:rsidP="00612398">
            <w:pPr>
              <w:jc w:val="center"/>
              <w:rPr>
                <w:sz w:val="22"/>
                <w:szCs w:val="22"/>
              </w:rPr>
            </w:pPr>
            <w:r w:rsidRPr="004F5A6C">
              <w:rPr>
                <w:rFonts w:cs="Calibri"/>
                <w:color w:val="000000"/>
                <w:sz w:val="22"/>
                <w:szCs w:val="22"/>
              </w:rPr>
              <w:t>4</w:t>
            </w:r>
            <w:r>
              <w:rPr>
                <w:rFonts w:cs="Calibri"/>
                <w:color w:val="000000"/>
                <w:sz w:val="22"/>
                <w:szCs w:val="22"/>
              </w:rPr>
              <w:t>3</w:t>
            </w:r>
            <w:r w:rsidRPr="004F5A6C">
              <w:rPr>
                <w:rFonts w:cs="Calibri"/>
                <w:color w:val="000000"/>
                <w:sz w:val="22"/>
                <w:szCs w:val="22"/>
              </w:rPr>
              <w:t>%</w:t>
            </w:r>
          </w:p>
        </w:tc>
        <w:tc>
          <w:tcPr>
            <w:tcW w:w="1530" w:type="dxa"/>
            <w:vAlign w:val="center"/>
          </w:tcPr>
          <w:p w14:paraId="07133017" w14:textId="6ABFD711" w:rsidR="002B2DCD" w:rsidRPr="004F5A6C" w:rsidRDefault="002B2DCD" w:rsidP="00612398">
            <w:pPr>
              <w:jc w:val="center"/>
              <w:rPr>
                <w:sz w:val="22"/>
                <w:szCs w:val="22"/>
              </w:rPr>
            </w:pPr>
            <w:r w:rsidRPr="004F5A6C">
              <w:rPr>
                <w:rFonts w:cs="Calibri"/>
                <w:color w:val="000000"/>
                <w:sz w:val="22"/>
                <w:szCs w:val="22"/>
              </w:rPr>
              <w:t>6</w:t>
            </w:r>
            <w:r>
              <w:rPr>
                <w:rFonts w:cs="Calibri"/>
                <w:color w:val="000000"/>
                <w:sz w:val="22"/>
                <w:szCs w:val="22"/>
              </w:rPr>
              <w:t>4</w:t>
            </w:r>
            <w:r w:rsidRPr="004F5A6C">
              <w:rPr>
                <w:rFonts w:cs="Calibri"/>
                <w:color w:val="000000"/>
                <w:sz w:val="22"/>
                <w:szCs w:val="22"/>
              </w:rPr>
              <w:t>%</w:t>
            </w:r>
          </w:p>
        </w:tc>
        <w:tc>
          <w:tcPr>
            <w:tcW w:w="1620" w:type="dxa"/>
            <w:vAlign w:val="center"/>
          </w:tcPr>
          <w:p w14:paraId="062892D7" w14:textId="5CAA94B8" w:rsidR="002B2DCD" w:rsidRPr="004F5A6C" w:rsidRDefault="002B2DCD" w:rsidP="00612398">
            <w:pPr>
              <w:jc w:val="center"/>
              <w:rPr>
                <w:sz w:val="22"/>
                <w:szCs w:val="22"/>
              </w:rPr>
            </w:pPr>
            <w:r w:rsidRPr="004F5A6C">
              <w:rPr>
                <w:rFonts w:cs="Calibri"/>
                <w:color w:val="000000"/>
                <w:sz w:val="22"/>
                <w:szCs w:val="22"/>
              </w:rPr>
              <w:t>4</w:t>
            </w:r>
            <w:r>
              <w:rPr>
                <w:rFonts w:cs="Calibri"/>
                <w:color w:val="000000"/>
                <w:sz w:val="22"/>
                <w:szCs w:val="22"/>
              </w:rPr>
              <w:t>0</w:t>
            </w:r>
            <w:r w:rsidRPr="004F5A6C">
              <w:rPr>
                <w:rFonts w:cs="Calibri"/>
                <w:color w:val="000000"/>
                <w:sz w:val="22"/>
                <w:szCs w:val="22"/>
              </w:rPr>
              <w:t>%</w:t>
            </w:r>
          </w:p>
        </w:tc>
        <w:tc>
          <w:tcPr>
            <w:tcW w:w="1530" w:type="dxa"/>
            <w:vAlign w:val="center"/>
          </w:tcPr>
          <w:p w14:paraId="5D95E339" w14:textId="1718461D" w:rsidR="002B2DCD" w:rsidRPr="004F5A6C" w:rsidRDefault="002B2DCD" w:rsidP="00612398">
            <w:pPr>
              <w:jc w:val="center"/>
              <w:rPr>
                <w:sz w:val="22"/>
                <w:szCs w:val="22"/>
              </w:rPr>
            </w:pPr>
            <w:r w:rsidRPr="004F5A6C">
              <w:rPr>
                <w:rFonts w:cs="Calibri"/>
                <w:color w:val="000000"/>
                <w:sz w:val="22"/>
                <w:szCs w:val="22"/>
              </w:rPr>
              <w:t>3</w:t>
            </w:r>
            <w:r>
              <w:rPr>
                <w:rFonts w:cs="Calibri"/>
                <w:color w:val="000000"/>
                <w:sz w:val="22"/>
                <w:szCs w:val="22"/>
              </w:rPr>
              <w:t>9</w:t>
            </w:r>
            <w:r w:rsidRPr="004F5A6C">
              <w:rPr>
                <w:rFonts w:cs="Calibri"/>
                <w:color w:val="000000"/>
                <w:sz w:val="22"/>
                <w:szCs w:val="22"/>
              </w:rPr>
              <w:t>%</w:t>
            </w:r>
          </w:p>
        </w:tc>
      </w:tr>
    </w:tbl>
    <w:p w14:paraId="26505489" w14:textId="77AA205F" w:rsidR="00A7632C" w:rsidRDefault="00870ADB" w:rsidP="00776B41">
      <w:pPr>
        <w:pStyle w:val="Heading3"/>
      </w:pPr>
      <w:bookmarkStart w:id="7" w:name="OLE_LINK1"/>
      <w:bookmarkStart w:id="8" w:name="OLE_LINK2"/>
      <w:r>
        <w:t xml:space="preserve">Table 5. </w:t>
      </w:r>
      <w:r w:rsidR="007C170D">
        <w:t>L</w:t>
      </w:r>
      <w:r w:rsidR="00764604" w:rsidRPr="004F5A6C">
        <w:t>iving Environment</w:t>
      </w:r>
    </w:p>
    <w:bookmarkEnd w:id="7"/>
    <w:bookmarkEnd w:id="8"/>
    <w:p w14:paraId="5A09F116" w14:textId="0D8B939D" w:rsidR="00BA4828" w:rsidRPr="00BA4828" w:rsidRDefault="00764604">
      <w:pPr>
        <w:rPr>
          <w:b/>
          <w:sz w:val="32"/>
          <w:szCs w:val="32"/>
        </w:rPr>
      </w:pPr>
      <w:r w:rsidRPr="00764604">
        <w:rPr>
          <w:spacing w:val="-1"/>
        </w:rPr>
        <w:t>The average number of people with disabilities in the home, including the individual, based on where they spend their day</w:t>
      </w:r>
      <w:r w:rsidR="001B0694">
        <w:rPr>
          <w:spacing w:val="-2"/>
        </w:rPr>
        <w:t>.</w:t>
      </w:r>
      <w:r w:rsidR="00BA4828" w:rsidRPr="00BA4828">
        <w:rPr>
          <w:spacing w:val="-5"/>
        </w:rPr>
        <w:t xml:space="preserve"> </w:t>
      </w:r>
    </w:p>
    <w:tbl>
      <w:tblPr>
        <w:tblStyle w:val="TableGrid"/>
        <w:tblW w:w="0" w:type="auto"/>
        <w:tblInd w:w="-5" w:type="dxa"/>
        <w:tblLook w:val="04A0" w:firstRow="1" w:lastRow="0" w:firstColumn="1" w:lastColumn="0" w:noHBand="0" w:noVBand="1"/>
        <w:tblDescription w:val="This table provides information on how many people with disabilities reside in a household together across the employment models."/>
      </w:tblPr>
      <w:tblGrid>
        <w:gridCol w:w="2789"/>
        <w:gridCol w:w="1480"/>
        <w:gridCol w:w="1440"/>
        <w:gridCol w:w="1350"/>
        <w:gridCol w:w="1620"/>
      </w:tblGrid>
      <w:tr w:rsidR="00E24801" w14:paraId="1064A5B5" w14:textId="2EC6505B" w:rsidTr="005F6E5B">
        <w:trPr>
          <w:trHeight w:val="737"/>
          <w:tblHeader/>
        </w:trPr>
        <w:tc>
          <w:tcPr>
            <w:tcW w:w="2789" w:type="dxa"/>
          </w:tcPr>
          <w:p w14:paraId="5769694C" w14:textId="77777777" w:rsidR="00E24801" w:rsidRDefault="00E24801" w:rsidP="00A7632C">
            <w:pPr>
              <w:rPr>
                <w:sz w:val="32"/>
                <w:szCs w:val="32"/>
              </w:rPr>
            </w:pPr>
          </w:p>
        </w:tc>
        <w:tc>
          <w:tcPr>
            <w:tcW w:w="1480" w:type="dxa"/>
            <w:shd w:val="clear" w:color="auto" w:fill="E2EFD9" w:themeFill="accent6" w:themeFillTint="33"/>
          </w:tcPr>
          <w:p w14:paraId="01F97449" w14:textId="62874DF2" w:rsidR="00E24801" w:rsidRPr="001B0694" w:rsidRDefault="00E24801" w:rsidP="00902254">
            <w:pPr>
              <w:jc w:val="center"/>
              <w:rPr>
                <w:b/>
              </w:rPr>
            </w:pPr>
            <w:r w:rsidRPr="001B0694">
              <w:rPr>
                <w:b/>
              </w:rPr>
              <w:t>Sheltered Workshop</w:t>
            </w:r>
          </w:p>
        </w:tc>
        <w:tc>
          <w:tcPr>
            <w:tcW w:w="1440" w:type="dxa"/>
            <w:shd w:val="clear" w:color="auto" w:fill="E2EFD9" w:themeFill="accent6" w:themeFillTint="33"/>
          </w:tcPr>
          <w:p w14:paraId="04B9D8D1" w14:textId="77777777" w:rsidR="00E24801" w:rsidRPr="001B0694" w:rsidRDefault="00E24801" w:rsidP="00A7632C">
            <w:pPr>
              <w:jc w:val="center"/>
              <w:rPr>
                <w:b/>
              </w:rPr>
            </w:pPr>
            <w:r w:rsidRPr="001B0694">
              <w:rPr>
                <w:b/>
              </w:rPr>
              <w:t xml:space="preserve">Individual </w:t>
            </w:r>
          </w:p>
          <w:p w14:paraId="59EEC8AB" w14:textId="68BF6A38" w:rsidR="00E24801" w:rsidRPr="001B0694" w:rsidRDefault="00E24801" w:rsidP="008702BC">
            <w:pPr>
              <w:jc w:val="center"/>
              <w:rPr>
                <w:b/>
              </w:rPr>
            </w:pPr>
            <w:r w:rsidRPr="001B0694">
              <w:rPr>
                <w:b/>
              </w:rPr>
              <w:t>Job</w:t>
            </w:r>
          </w:p>
        </w:tc>
        <w:tc>
          <w:tcPr>
            <w:tcW w:w="1350" w:type="dxa"/>
            <w:shd w:val="clear" w:color="auto" w:fill="E2EFD9" w:themeFill="accent6" w:themeFillTint="33"/>
          </w:tcPr>
          <w:p w14:paraId="38953226" w14:textId="7BC61793" w:rsidR="00E24801" w:rsidRPr="001B0694" w:rsidRDefault="00E24801" w:rsidP="00902254">
            <w:pPr>
              <w:jc w:val="center"/>
              <w:rPr>
                <w:b/>
              </w:rPr>
            </w:pPr>
            <w:r w:rsidRPr="001B0694">
              <w:rPr>
                <w:b/>
              </w:rPr>
              <w:t>Off-Site Group</w:t>
            </w:r>
          </w:p>
        </w:tc>
        <w:tc>
          <w:tcPr>
            <w:tcW w:w="1620" w:type="dxa"/>
            <w:shd w:val="clear" w:color="auto" w:fill="E2EFD9" w:themeFill="accent6" w:themeFillTint="33"/>
          </w:tcPr>
          <w:p w14:paraId="4EB1A71B" w14:textId="1497CFD6" w:rsidR="00E24801" w:rsidRPr="001B0694" w:rsidRDefault="00E24801" w:rsidP="00902254">
            <w:pPr>
              <w:jc w:val="center"/>
              <w:rPr>
                <w:b/>
              </w:rPr>
            </w:pPr>
            <w:r w:rsidRPr="001B0694">
              <w:rPr>
                <w:b/>
              </w:rPr>
              <w:t>Non-employ</w:t>
            </w:r>
            <w:r>
              <w:rPr>
                <w:b/>
              </w:rPr>
              <w:t xml:space="preserve"> </w:t>
            </w:r>
            <w:r w:rsidRPr="001B0694">
              <w:rPr>
                <w:b/>
              </w:rPr>
              <w:t>Day</w:t>
            </w:r>
          </w:p>
        </w:tc>
      </w:tr>
      <w:tr w:rsidR="00E24801" w14:paraId="38005EDE" w14:textId="30609A40" w:rsidTr="005F6E5B">
        <w:trPr>
          <w:tblHeader/>
        </w:trPr>
        <w:tc>
          <w:tcPr>
            <w:tcW w:w="2789" w:type="dxa"/>
            <w:vAlign w:val="bottom"/>
          </w:tcPr>
          <w:p w14:paraId="0035BDA4" w14:textId="420C40B0" w:rsidR="00E24801" w:rsidRPr="008702BC" w:rsidRDefault="00E24801" w:rsidP="00A7632C">
            <w:r w:rsidRPr="008702BC">
              <w:rPr>
                <w:rFonts w:cs="Calibri"/>
                <w:color w:val="000000"/>
              </w:rPr>
              <w:t xml:space="preserve">Average number of people </w:t>
            </w:r>
            <w:r w:rsidRPr="008702BC">
              <w:rPr>
                <w:rFonts w:cs="Calibri"/>
                <w:b/>
                <w:i/>
                <w:color w:val="000000"/>
              </w:rPr>
              <w:t xml:space="preserve">with </w:t>
            </w:r>
            <w:r w:rsidRPr="008702BC">
              <w:rPr>
                <w:rFonts w:cs="Calibri"/>
                <w:color w:val="000000"/>
              </w:rPr>
              <w:t xml:space="preserve">disabilities in home </w:t>
            </w:r>
          </w:p>
        </w:tc>
        <w:tc>
          <w:tcPr>
            <w:tcW w:w="1480" w:type="dxa"/>
          </w:tcPr>
          <w:p w14:paraId="28B8E87D" w14:textId="398CB3AE" w:rsidR="00E24801" w:rsidRPr="008702BC" w:rsidRDefault="00E24801" w:rsidP="00902254">
            <w:pPr>
              <w:jc w:val="center"/>
            </w:pPr>
            <w:r w:rsidRPr="008702BC">
              <w:t>3</w:t>
            </w:r>
          </w:p>
        </w:tc>
        <w:tc>
          <w:tcPr>
            <w:tcW w:w="1440" w:type="dxa"/>
          </w:tcPr>
          <w:p w14:paraId="58BBC7D2" w14:textId="779520EC" w:rsidR="00E24801" w:rsidRPr="008702BC" w:rsidRDefault="00E24801" w:rsidP="00902254">
            <w:pPr>
              <w:jc w:val="center"/>
            </w:pPr>
            <w:r>
              <w:t>2</w:t>
            </w:r>
          </w:p>
        </w:tc>
        <w:tc>
          <w:tcPr>
            <w:tcW w:w="1350" w:type="dxa"/>
          </w:tcPr>
          <w:p w14:paraId="7CA2DBED" w14:textId="77777777" w:rsidR="00E24801" w:rsidRPr="0009323F" w:rsidRDefault="00E24801" w:rsidP="00902254">
            <w:pPr>
              <w:jc w:val="center"/>
              <w:rPr>
                <w:bCs/>
                <w:color w:val="000000" w:themeColor="text1"/>
              </w:rPr>
            </w:pPr>
            <w:r w:rsidRPr="0009323F">
              <w:rPr>
                <w:bCs/>
                <w:color w:val="000000" w:themeColor="text1"/>
              </w:rPr>
              <w:t>3</w:t>
            </w:r>
          </w:p>
          <w:p w14:paraId="36EDA54C" w14:textId="3ECFA55A" w:rsidR="003C4FFC" w:rsidRPr="008702BC" w:rsidRDefault="003C4FFC" w:rsidP="00902254">
            <w:pPr>
              <w:jc w:val="center"/>
            </w:pPr>
          </w:p>
        </w:tc>
        <w:tc>
          <w:tcPr>
            <w:tcW w:w="1620" w:type="dxa"/>
          </w:tcPr>
          <w:p w14:paraId="55EB1E90" w14:textId="251DE4C2" w:rsidR="00E24801" w:rsidRPr="008702BC" w:rsidRDefault="00E24801" w:rsidP="00902254">
            <w:pPr>
              <w:jc w:val="center"/>
            </w:pPr>
            <w:r>
              <w:t>5</w:t>
            </w:r>
          </w:p>
        </w:tc>
      </w:tr>
    </w:tbl>
    <w:p w14:paraId="5C867EBB" w14:textId="3B4B54F6" w:rsidR="00DD6BD6" w:rsidRPr="007A704C" w:rsidRDefault="00DD6BD6" w:rsidP="00F42B14">
      <w:pPr>
        <w:pStyle w:val="Heading1"/>
      </w:pPr>
      <w:bookmarkStart w:id="9" w:name="_Toc39135702"/>
      <w:r w:rsidRPr="007A704C">
        <w:lastRenderedPageBreak/>
        <w:t xml:space="preserve">By </w:t>
      </w:r>
      <w:r>
        <w:t>T</w:t>
      </w:r>
      <w:r w:rsidRPr="007A704C">
        <w:t>he Setting</w:t>
      </w:r>
      <w:r>
        <w:t xml:space="preserve"> . . . By The Age</w:t>
      </w:r>
      <w:bookmarkEnd w:id="9"/>
    </w:p>
    <w:p w14:paraId="515C61BB" w14:textId="090F3593" w:rsidR="00DD6BD6" w:rsidRPr="00DD6BD6" w:rsidRDefault="00DD6BD6" w:rsidP="00DD6BD6">
      <w:pPr>
        <w:autoSpaceDE w:val="0"/>
        <w:autoSpaceDN w:val="0"/>
        <w:adjustRightInd w:val="0"/>
        <w:rPr>
          <w:rFonts w:eastAsiaTheme="minorHAnsi"/>
          <w:color w:val="000000" w:themeColor="text1"/>
          <w:sz w:val="28"/>
          <w:szCs w:val="28"/>
        </w:rPr>
      </w:pPr>
      <w:r w:rsidRPr="00DD6BD6">
        <w:rPr>
          <w:rFonts w:eastAsiaTheme="minorHAnsi"/>
          <w:color w:val="000000" w:themeColor="text1"/>
          <w:sz w:val="28"/>
          <w:szCs w:val="28"/>
        </w:rPr>
        <w:t>There were 706 individuals between 18-24 years old and 766</w:t>
      </w:r>
      <w:r w:rsidR="00F42B14">
        <w:rPr>
          <w:rFonts w:eastAsiaTheme="minorHAnsi"/>
          <w:color w:val="000000" w:themeColor="text1"/>
          <w:sz w:val="28"/>
          <w:szCs w:val="28"/>
        </w:rPr>
        <w:t xml:space="preserve"> </w:t>
      </w:r>
      <w:r w:rsidRPr="00DD6BD6">
        <w:rPr>
          <w:rFonts w:eastAsiaTheme="minorHAnsi"/>
          <w:color w:val="000000" w:themeColor="text1"/>
          <w:sz w:val="28"/>
          <w:szCs w:val="28"/>
        </w:rPr>
        <w:t>between 25-29 years old, engaged in some type of employment. Below is the percent of the age group, setting, and the comparison of average hours and wages.</w:t>
      </w:r>
    </w:p>
    <w:p w14:paraId="1099BF9A" w14:textId="2BEB2F3F" w:rsidR="00DD6BD6" w:rsidRPr="00176776" w:rsidRDefault="00DD6BD6" w:rsidP="00F42B14">
      <w:pPr>
        <w:pStyle w:val="Heading2"/>
      </w:pPr>
      <w:bookmarkStart w:id="10" w:name="_Toc39135703"/>
      <w:r w:rsidRPr="00176776">
        <w:t>Setting</w:t>
      </w:r>
      <w:bookmarkEnd w:id="10"/>
    </w:p>
    <w:tbl>
      <w:tblPr>
        <w:tblStyle w:val="TableGrid"/>
        <w:tblW w:w="0" w:type="auto"/>
        <w:tblLook w:val="04A0" w:firstRow="1" w:lastRow="0" w:firstColumn="1" w:lastColumn="0" w:noHBand="0" w:noVBand="1"/>
        <w:tblDescription w:val="This table compares employment models to age groups."/>
      </w:tblPr>
      <w:tblGrid>
        <w:gridCol w:w="1975"/>
        <w:gridCol w:w="2699"/>
        <w:gridCol w:w="2338"/>
        <w:gridCol w:w="2338"/>
      </w:tblGrid>
      <w:tr w:rsidR="00DD6BD6" w14:paraId="5D1FF444" w14:textId="77777777" w:rsidTr="00EB0EE6">
        <w:trPr>
          <w:tblHeader/>
        </w:trPr>
        <w:tc>
          <w:tcPr>
            <w:tcW w:w="1975" w:type="dxa"/>
          </w:tcPr>
          <w:p w14:paraId="1F2E3931" w14:textId="19AD72E8" w:rsidR="00DD6BD6" w:rsidRPr="00DD6BD6" w:rsidRDefault="00DD6BD6" w:rsidP="00DD6BD6">
            <w:pPr>
              <w:autoSpaceDE w:val="0"/>
              <w:autoSpaceDN w:val="0"/>
              <w:adjustRightInd w:val="0"/>
              <w:jc w:val="center"/>
              <w:rPr>
                <w:b/>
                <w:bCs/>
                <w:sz w:val="28"/>
                <w:szCs w:val="28"/>
              </w:rPr>
            </w:pPr>
          </w:p>
        </w:tc>
        <w:tc>
          <w:tcPr>
            <w:tcW w:w="2699" w:type="dxa"/>
          </w:tcPr>
          <w:p w14:paraId="4B54DD93" w14:textId="5FD6C2C9" w:rsidR="00DD6BD6" w:rsidRPr="00DD6BD6" w:rsidRDefault="00DD6BD6" w:rsidP="00DD6BD6">
            <w:pPr>
              <w:autoSpaceDE w:val="0"/>
              <w:autoSpaceDN w:val="0"/>
              <w:adjustRightInd w:val="0"/>
              <w:jc w:val="center"/>
              <w:rPr>
                <w:b/>
                <w:bCs/>
                <w:sz w:val="28"/>
                <w:szCs w:val="28"/>
              </w:rPr>
            </w:pPr>
            <w:r>
              <w:rPr>
                <w:b/>
                <w:bCs/>
                <w:sz w:val="28"/>
                <w:szCs w:val="28"/>
              </w:rPr>
              <w:t>Sheltered Employ.</w:t>
            </w:r>
          </w:p>
        </w:tc>
        <w:tc>
          <w:tcPr>
            <w:tcW w:w="2338" w:type="dxa"/>
          </w:tcPr>
          <w:p w14:paraId="11C522E7" w14:textId="65E790D2" w:rsidR="00DD6BD6" w:rsidRPr="00DD6BD6" w:rsidRDefault="00DD6BD6" w:rsidP="00DD6BD6">
            <w:pPr>
              <w:autoSpaceDE w:val="0"/>
              <w:autoSpaceDN w:val="0"/>
              <w:adjustRightInd w:val="0"/>
              <w:jc w:val="center"/>
              <w:rPr>
                <w:b/>
                <w:bCs/>
                <w:sz w:val="28"/>
                <w:szCs w:val="28"/>
              </w:rPr>
            </w:pPr>
            <w:r>
              <w:rPr>
                <w:b/>
                <w:bCs/>
                <w:sz w:val="28"/>
                <w:szCs w:val="28"/>
              </w:rPr>
              <w:t>Off-Site Group</w:t>
            </w:r>
          </w:p>
        </w:tc>
        <w:tc>
          <w:tcPr>
            <w:tcW w:w="2338" w:type="dxa"/>
          </w:tcPr>
          <w:p w14:paraId="52D8AADE" w14:textId="3371C213" w:rsidR="00DD6BD6" w:rsidRPr="00DD6BD6" w:rsidRDefault="00DD6BD6" w:rsidP="00DD6BD6">
            <w:pPr>
              <w:autoSpaceDE w:val="0"/>
              <w:autoSpaceDN w:val="0"/>
              <w:adjustRightInd w:val="0"/>
              <w:jc w:val="center"/>
              <w:rPr>
                <w:b/>
                <w:bCs/>
                <w:sz w:val="28"/>
                <w:szCs w:val="28"/>
              </w:rPr>
            </w:pPr>
            <w:r>
              <w:rPr>
                <w:b/>
                <w:bCs/>
                <w:sz w:val="28"/>
                <w:szCs w:val="28"/>
              </w:rPr>
              <w:t>Individual Job</w:t>
            </w:r>
          </w:p>
        </w:tc>
      </w:tr>
      <w:tr w:rsidR="00DD6BD6" w14:paraId="78259406" w14:textId="77777777" w:rsidTr="00DD6BD6">
        <w:tc>
          <w:tcPr>
            <w:tcW w:w="1975" w:type="dxa"/>
          </w:tcPr>
          <w:p w14:paraId="2DEACAF1" w14:textId="48296B76" w:rsidR="00DD6BD6" w:rsidRPr="00DD6BD6" w:rsidRDefault="00DD6BD6" w:rsidP="00DD6BD6">
            <w:pPr>
              <w:autoSpaceDE w:val="0"/>
              <w:autoSpaceDN w:val="0"/>
              <w:adjustRightInd w:val="0"/>
              <w:rPr>
                <w:sz w:val="28"/>
                <w:szCs w:val="28"/>
              </w:rPr>
            </w:pPr>
            <w:r w:rsidRPr="00DD6BD6">
              <w:rPr>
                <w:sz w:val="28"/>
                <w:szCs w:val="28"/>
              </w:rPr>
              <w:t>18-24 yrs</w:t>
            </w:r>
          </w:p>
        </w:tc>
        <w:tc>
          <w:tcPr>
            <w:tcW w:w="2699" w:type="dxa"/>
          </w:tcPr>
          <w:p w14:paraId="23784B28" w14:textId="50B5C4AD" w:rsidR="00DD6BD6" w:rsidRPr="00DD6BD6" w:rsidRDefault="00DD6BD6" w:rsidP="00DD6BD6">
            <w:pPr>
              <w:autoSpaceDE w:val="0"/>
              <w:autoSpaceDN w:val="0"/>
              <w:adjustRightInd w:val="0"/>
              <w:jc w:val="center"/>
              <w:rPr>
                <w:sz w:val="28"/>
                <w:szCs w:val="28"/>
              </w:rPr>
            </w:pPr>
            <w:r>
              <w:rPr>
                <w:sz w:val="28"/>
                <w:szCs w:val="28"/>
              </w:rPr>
              <w:t>20%</w:t>
            </w:r>
          </w:p>
        </w:tc>
        <w:tc>
          <w:tcPr>
            <w:tcW w:w="2338" w:type="dxa"/>
          </w:tcPr>
          <w:p w14:paraId="58E7FB92" w14:textId="0805ECDA" w:rsidR="00DD6BD6" w:rsidRPr="00DD6BD6" w:rsidRDefault="00DD6BD6" w:rsidP="00DD6BD6">
            <w:pPr>
              <w:autoSpaceDE w:val="0"/>
              <w:autoSpaceDN w:val="0"/>
              <w:adjustRightInd w:val="0"/>
              <w:jc w:val="center"/>
              <w:rPr>
                <w:sz w:val="28"/>
                <w:szCs w:val="28"/>
              </w:rPr>
            </w:pPr>
            <w:r>
              <w:rPr>
                <w:sz w:val="28"/>
                <w:szCs w:val="28"/>
              </w:rPr>
              <w:t>1%</w:t>
            </w:r>
          </w:p>
        </w:tc>
        <w:tc>
          <w:tcPr>
            <w:tcW w:w="2338" w:type="dxa"/>
          </w:tcPr>
          <w:p w14:paraId="56AAF92A" w14:textId="0DB7D955" w:rsidR="00DD6BD6" w:rsidRPr="00DD6BD6" w:rsidRDefault="00DD6BD6" w:rsidP="00DD6BD6">
            <w:pPr>
              <w:autoSpaceDE w:val="0"/>
              <w:autoSpaceDN w:val="0"/>
              <w:adjustRightInd w:val="0"/>
              <w:jc w:val="center"/>
              <w:rPr>
                <w:sz w:val="28"/>
                <w:szCs w:val="28"/>
              </w:rPr>
            </w:pPr>
            <w:r>
              <w:rPr>
                <w:sz w:val="28"/>
                <w:szCs w:val="28"/>
              </w:rPr>
              <w:t>79%</w:t>
            </w:r>
          </w:p>
        </w:tc>
      </w:tr>
      <w:tr w:rsidR="00DD6BD6" w14:paraId="66451EEE" w14:textId="77777777" w:rsidTr="00DD6BD6">
        <w:tc>
          <w:tcPr>
            <w:tcW w:w="1975" w:type="dxa"/>
          </w:tcPr>
          <w:p w14:paraId="54ACAD3A" w14:textId="65E8A102" w:rsidR="00DD6BD6" w:rsidRPr="00DD6BD6" w:rsidRDefault="00DD6BD6" w:rsidP="00DD6BD6">
            <w:pPr>
              <w:autoSpaceDE w:val="0"/>
              <w:autoSpaceDN w:val="0"/>
              <w:adjustRightInd w:val="0"/>
              <w:rPr>
                <w:sz w:val="28"/>
                <w:szCs w:val="28"/>
              </w:rPr>
            </w:pPr>
            <w:r>
              <w:rPr>
                <w:sz w:val="28"/>
                <w:szCs w:val="28"/>
              </w:rPr>
              <w:t>25-29%</w:t>
            </w:r>
          </w:p>
        </w:tc>
        <w:tc>
          <w:tcPr>
            <w:tcW w:w="2699" w:type="dxa"/>
          </w:tcPr>
          <w:p w14:paraId="7F7E7E6E" w14:textId="47696F55" w:rsidR="00DD6BD6" w:rsidRPr="00DD6BD6" w:rsidRDefault="00DD6BD6" w:rsidP="00DD6BD6">
            <w:pPr>
              <w:autoSpaceDE w:val="0"/>
              <w:autoSpaceDN w:val="0"/>
              <w:adjustRightInd w:val="0"/>
              <w:jc w:val="center"/>
              <w:rPr>
                <w:sz w:val="28"/>
                <w:szCs w:val="28"/>
              </w:rPr>
            </w:pPr>
            <w:r>
              <w:rPr>
                <w:sz w:val="28"/>
                <w:szCs w:val="28"/>
              </w:rPr>
              <w:t>42%</w:t>
            </w:r>
          </w:p>
        </w:tc>
        <w:tc>
          <w:tcPr>
            <w:tcW w:w="2338" w:type="dxa"/>
          </w:tcPr>
          <w:p w14:paraId="32C54589" w14:textId="7B199680" w:rsidR="00DD6BD6" w:rsidRPr="00DD6BD6" w:rsidRDefault="00DD6BD6" w:rsidP="00DD6BD6">
            <w:pPr>
              <w:autoSpaceDE w:val="0"/>
              <w:autoSpaceDN w:val="0"/>
              <w:adjustRightInd w:val="0"/>
              <w:jc w:val="center"/>
              <w:rPr>
                <w:sz w:val="28"/>
                <w:szCs w:val="28"/>
              </w:rPr>
            </w:pPr>
            <w:r>
              <w:rPr>
                <w:sz w:val="28"/>
                <w:szCs w:val="28"/>
              </w:rPr>
              <w:t>1%</w:t>
            </w:r>
          </w:p>
        </w:tc>
        <w:tc>
          <w:tcPr>
            <w:tcW w:w="2338" w:type="dxa"/>
          </w:tcPr>
          <w:p w14:paraId="5509711C" w14:textId="4957D129" w:rsidR="00DD6BD6" w:rsidRPr="00DD6BD6" w:rsidRDefault="00DD6BD6" w:rsidP="00DD6BD6">
            <w:pPr>
              <w:autoSpaceDE w:val="0"/>
              <w:autoSpaceDN w:val="0"/>
              <w:adjustRightInd w:val="0"/>
              <w:jc w:val="center"/>
              <w:rPr>
                <w:sz w:val="28"/>
                <w:szCs w:val="28"/>
              </w:rPr>
            </w:pPr>
            <w:r>
              <w:rPr>
                <w:sz w:val="28"/>
                <w:szCs w:val="28"/>
              </w:rPr>
              <w:t>57%</w:t>
            </w:r>
          </w:p>
        </w:tc>
      </w:tr>
    </w:tbl>
    <w:p w14:paraId="723F5B4D" w14:textId="0CA4DE27" w:rsidR="00DD6BD6" w:rsidRPr="00176776" w:rsidRDefault="00DD6BD6" w:rsidP="00F42B14">
      <w:pPr>
        <w:pStyle w:val="Heading2"/>
      </w:pPr>
      <w:bookmarkStart w:id="11" w:name="_Toc39135704"/>
      <w:r w:rsidRPr="00176776">
        <w:t>Hours Worked</w:t>
      </w:r>
      <w:bookmarkEnd w:id="11"/>
    </w:p>
    <w:tbl>
      <w:tblPr>
        <w:tblStyle w:val="TableGrid"/>
        <w:tblW w:w="0" w:type="auto"/>
        <w:tblLook w:val="04A0" w:firstRow="1" w:lastRow="0" w:firstColumn="1" w:lastColumn="0" w:noHBand="0" w:noVBand="1"/>
        <w:tblDescription w:val="This table compares hours worked across the employment models by age range."/>
      </w:tblPr>
      <w:tblGrid>
        <w:gridCol w:w="1975"/>
        <w:gridCol w:w="2699"/>
        <w:gridCol w:w="2338"/>
        <w:gridCol w:w="2338"/>
      </w:tblGrid>
      <w:tr w:rsidR="00DD6BD6" w:rsidRPr="00DD6BD6" w14:paraId="7CE2C747" w14:textId="77777777" w:rsidTr="00EB0EE6">
        <w:trPr>
          <w:tblHeader/>
        </w:trPr>
        <w:tc>
          <w:tcPr>
            <w:tcW w:w="1975" w:type="dxa"/>
          </w:tcPr>
          <w:p w14:paraId="039E8267" w14:textId="592C75BB" w:rsidR="00DD6BD6" w:rsidRPr="00DD6BD6" w:rsidRDefault="00DD6BD6" w:rsidP="00CE76DA">
            <w:pPr>
              <w:autoSpaceDE w:val="0"/>
              <w:autoSpaceDN w:val="0"/>
              <w:adjustRightInd w:val="0"/>
              <w:jc w:val="center"/>
              <w:rPr>
                <w:b/>
                <w:bCs/>
                <w:sz w:val="28"/>
                <w:szCs w:val="28"/>
              </w:rPr>
            </w:pPr>
          </w:p>
        </w:tc>
        <w:tc>
          <w:tcPr>
            <w:tcW w:w="2699" w:type="dxa"/>
          </w:tcPr>
          <w:p w14:paraId="72FD4C68" w14:textId="77777777" w:rsidR="00DD6BD6" w:rsidRPr="00DD6BD6" w:rsidRDefault="00DD6BD6" w:rsidP="00CE76DA">
            <w:pPr>
              <w:autoSpaceDE w:val="0"/>
              <w:autoSpaceDN w:val="0"/>
              <w:adjustRightInd w:val="0"/>
              <w:jc w:val="center"/>
              <w:rPr>
                <w:b/>
                <w:bCs/>
                <w:sz w:val="28"/>
                <w:szCs w:val="28"/>
              </w:rPr>
            </w:pPr>
            <w:r>
              <w:rPr>
                <w:b/>
                <w:bCs/>
                <w:sz w:val="28"/>
                <w:szCs w:val="28"/>
              </w:rPr>
              <w:t>Sheltered Employ.</w:t>
            </w:r>
          </w:p>
        </w:tc>
        <w:tc>
          <w:tcPr>
            <w:tcW w:w="2338" w:type="dxa"/>
          </w:tcPr>
          <w:p w14:paraId="7A692B50" w14:textId="77777777" w:rsidR="00DD6BD6" w:rsidRPr="00DD6BD6" w:rsidRDefault="00DD6BD6" w:rsidP="00CE76DA">
            <w:pPr>
              <w:autoSpaceDE w:val="0"/>
              <w:autoSpaceDN w:val="0"/>
              <w:adjustRightInd w:val="0"/>
              <w:jc w:val="center"/>
              <w:rPr>
                <w:b/>
                <w:bCs/>
                <w:sz w:val="28"/>
                <w:szCs w:val="28"/>
              </w:rPr>
            </w:pPr>
            <w:r>
              <w:rPr>
                <w:b/>
                <w:bCs/>
                <w:sz w:val="28"/>
                <w:szCs w:val="28"/>
              </w:rPr>
              <w:t>Off-Site Group</w:t>
            </w:r>
          </w:p>
        </w:tc>
        <w:tc>
          <w:tcPr>
            <w:tcW w:w="2338" w:type="dxa"/>
          </w:tcPr>
          <w:p w14:paraId="2FAF8DE1" w14:textId="77777777" w:rsidR="00DD6BD6" w:rsidRPr="00DD6BD6" w:rsidRDefault="00DD6BD6" w:rsidP="00CE76DA">
            <w:pPr>
              <w:autoSpaceDE w:val="0"/>
              <w:autoSpaceDN w:val="0"/>
              <w:adjustRightInd w:val="0"/>
              <w:jc w:val="center"/>
              <w:rPr>
                <w:b/>
                <w:bCs/>
                <w:sz w:val="28"/>
                <w:szCs w:val="28"/>
              </w:rPr>
            </w:pPr>
            <w:r>
              <w:rPr>
                <w:b/>
                <w:bCs/>
                <w:sz w:val="28"/>
                <w:szCs w:val="28"/>
              </w:rPr>
              <w:t>Individual Job</w:t>
            </w:r>
          </w:p>
        </w:tc>
      </w:tr>
      <w:tr w:rsidR="00DD6BD6" w:rsidRPr="00DD6BD6" w14:paraId="61B3508A" w14:textId="77777777" w:rsidTr="00CE76DA">
        <w:tc>
          <w:tcPr>
            <w:tcW w:w="1975" w:type="dxa"/>
          </w:tcPr>
          <w:p w14:paraId="2303E721" w14:textId="77777777" w:rsidR="00DD6BD6" w:rsidRPr="00DD6BD6" w:rsidRDefault="00DD6BD6" w:rsidP="00CE76DA">
            <w:pPr>
              <w:autoSpaceDE w:val="0"/>
              <w:autoSpaceDN w:val="0"/>
              <w:adjustRightInd w:val="0"/>
              <w:rPr>
                <w:sz w:val="28"/>
                <w:szCs w:val="28"/>
              </w:rPr>
            </w:pPr>
            <w:r w:rsidRPr="00DD6BD6">
              <w:rPr>
                <w:sz w:val="28"/>
                <w:szCs w:val="28"/>
              </w:rPr>
              <w:t>18-24 yrs</w:t>
            </w:r>
          </w:p>
        </w:tc>
        <w:tc>
          <w:tcPr>
            <w:tcW w:w="2699" w:type="dxa"/>
          </w:tcPr>
          <w:p w14:paraId="67C6AC09" w14:textId="78AB03BC" w:rsidR="00DD6BD6" w:rsidRPr="00DD6BD6" w:rsidRDefault="00DD6BD6" w:rsidP="00CE76DA">
            <w:pPr>
              <w:autoSpaceDE w:val="0"/>
              <w:autoSpaceDN w:val="0"/>
              <w:adjustRightInd w:val="0"/>
              <w:jc w:val="center"/>
              <w:rPr>
                <w:sz w:val="28"/>
                <w:szCs w:val="28"/>
              </w:rPr>
            </w:pPr>
            <w:r>
              <w:rPr>
                <w:sz w:val="28"/>
                <w:szCs w:val="28"/>
              </w:rPr>
              <w:t>19</w:t>
            </w:r>
          </w:p>
        </w:tc>
        <w:tc>
          <w:tcPr>
            <w:tcW w:w="2338" w:type="dxa"/>
          </w:tcPr>
          <w:p w14:paraId="4BC2C74F" w14:textId="4520FFAD" w:rsidR="00DD6BD6" w:rsidRPr="00DD6BD6" w:rsidRDefault="00DD6BD6" w:rsidP="00CE76DA">
            <w:pPr>
              <w:autoSpaceDE w:val="0"/>
              <w:autoSpaceDN w:val="0"/>
              <w:adjustRightInd w:val="0"/>
              <w:jc w:val="center"/>
              <w:rPr>
                <w:sz w:val="28"/>
                <w:szCs w:val="28"/>
              </w:rPr>
            </w:pPr>
            <w:r>
              <w:rPr>
                <w:sz w:val="28"/>
                <w:szCs w:val="28"/>
              </w:rPr>
              <w:t>15</w:t>
            </w:r>
          </w:p>
        </w:tc>
        <w:tc>
          <w:tcPr>
            <w:tcW w:w="2338" w:type="dxa"/>
          </w:tcPr>
          <w:p w14:paraId="0A650D13" w14:textId="09DF9399" w:rsidR="00DD6BD6" w:rsidRPr="00DD6BD6" w:rsidRDefault="00DD6BD6" w:rsidP="00CE76DA">
            <w:pPr>
              <w:autoSpaceDE w:val="0"/>
              <w:autoSpaceDN w:val="0"/>
              <w:adjustRightInd w:val="0"/>
              <w:jc w:val="center"/>
              <w:rPr>
                <w:sz w:val="28"/>
                <w:szCs w:val="28"/>
              </w:rPr>
            </w:pPr>
            <w:r>
              <w:rPr>
                <w:sz w:val="28"/>
                <w:szCs w:val="28"/>
              </w:rPr>
              <w:t>19</w:t>
            </w:r>
          </w:p>
        </w:tc>
      </w:tr>
      <w:tr w:rsidR="00DD6BD6" w:rsidRPr="00DD6BD6" w14:paraId="63B95CDD" w14:textId="77777777" w:rsidTr="00CE76DA">
        <w:tc>
          <w:tcPr>
            <w:tcW w:w="1975" w:type="dxa"/>
          </w:tcPr>
          <w:p w14:paraId="3725B8A4" w14:textId="77777777" w:rsidR="00DD6BD6" w:rsidRPr="00DD6BD6" w:rsidRDefault="00DD6BD6" w:rsidP="00CE76DA">
            <w:pPr>
              <w:autoSpaceDE w:val="0"/>
              <w:autoSpaceDN w:val="0"/>
              <w:adjustRightInd w:val="0"/>
              <w:rPr>
                <w:sz w:val="28"/>
                <w:szCs w:val="28"/>
              </w:rPr>
            </w:pPr>
            <w:r>
              <w:rPr>
                <w:sz w:val="28"/>
                <w:szCs w:val="28"/>
              </w:rPr>
              <w:t>25-29%</w:t>
            </w:r>
          </w:p>
        </w:tc>
        <w:tc>
          <w:tcPr>
            <w:tcW w:w="2699" w:type="dxa"/>
          </w:tcPr>
          <w:p w14:paraId="3D2944BE" w14:textId="0BDADBF7" w:rsidR="00DD6BD6" w:rsidRPr="00DD6BD6" w:rsidRDefault="00DD6BD6" w:rsidP="00CE76DA">
            <w:pPr>
              <w:autoSpaceDE w:val="0"/>
              <w:autoSpaceDN w:val="0"/>
              <w:adjustRightInd w:val="0"/>
              <w:jc w:val="center"/>
              <w:rPr>
                <w:sz w:val="28"/>
                <w:szCs w:val="28"/>
              </w:rPr>
            </w:pPr>
            <w:r>
              <w:rPr>
                <w:sz w:val="28"/>
                <w:szCs w:val="28"/>
              </w:rPr>
              <w:t>23</w:t>
            </w:r>
          </w:p>
        </w:tc>
        <w:tc>
          <w:tcPr>
            <w:tcW w:w="2338" w:type="dxa"/>
          </w:tcPr>
          <w:p w14:paraId="733F0CB4" w14:textId="26C97256" w:rsidR="00DD6BD6" w:rsidRPr="00DD6BD6" w:rsidRDefault="00DD6BD6" w:rsidP="00CE76DA">
            <w:pPr>
              <w:autoSpaceDE w:val="0"/>
              <w:autoSpaceDN w:val="0"/>
              <w:adjustRightInd w:val="0"/>
              <w:jc w:val="center"/>
              <w:rPr>
                <w:sz w:val="28"/>
                <w:szCs w:val="28"/>
              </w:rPr>
            </w:pPr>
            <w:r>
              <w:rPr>
                <w:sz w:val="28"/>
                <w:szCs w:val="28"/>
              </w:rPr>
              <w:t>28</w:t>
            </w:r>
          </w:p>
        </w:tc>
        <w:tc>
          <w:tcPr>
            <w:tcW w:w="2338" w:type="dxa"/>
          </w:tcPr>
          <w:p w14:paraId="54D753DE" w14:textId="0CC257BF" w:rsidR="00DD6BD6" w:rsidRPr="00DD6BD6" w:rsidRDefault="00DD6BD6" w:rsidP="00CE76DA">
            <w:pPr>
              <w:autoSpaceDE w:val="0"/>
              <w:autoSpaceDN w:val="0"/>
              <w:adjustRightInd w:val="0"/>
              <w:jc w:val="center"/>
              <w:rPr>
                <w:sz w:val="28"/>
                <w:szCs w:val="28"/>
              </w:rPr>
            </w:pPr>
            <w:r>
              <w:rPr>
                <w:sz w:val="28"/>
                <w:szCs w:val="28"/>
              </w:rPr>
              <w:t>21</w:t>
            </w:r>
          </w:p>
        </w:tc>
      </w:tr>
    </w:tbl>
    <w:p w14:paraId="6460AA44" w14:textId="6EECE749" w:rsidR="00DD6BD6" w:rsidRPr="00176776" w:rsidRDefault="00DD6BD6" w:rsidP="00F42B14">
      <w:pPr>
        <w:pStyle w:val="Heading2"/>
      </w:pPr>
      <w:bookmarkStart w:id="12" w:name="_Toc39135705"/>
      <w:r w:rsidRPr="00176776">
        <w:t>Wages</w:t>
      </w:r>
      <w:bookmarkEnd w:id="12"/>
    </w:p>
    <w:tbl>
      <w:tblPr>
        <w:tblStyle w:val="TableGrid"/>
        <w:tblW w:w="0" w:type="auto"/>
        <w:tblLook w:val="04A0" w:firstRow="1" w:lastRow="0" w:firstColumn="1" w:lastColumn="0" w:noHBand="0" w:noVBand="1"/>
        <w:tblDescription w:val="This table compares hourly wages across the employment models by age range."/>
      </w:tblPr>
      <w:tblGrid>
        <w:gridCol w:w="1975"/>
        <w:gridCol w:w="2699"/>
        <w:gridCol w:w="2338"/>
        <w:gridCol w:w="2338"/>
      </w:tblGrid>
      <w:tr w:rsidR="00DD6BD6" w:rsidRPr="00DD6BD6" w14:paraId="741994CA" w14:textId="77777777" w:rsidTr="00EB0EE6">
        <w:trPr>
          <w:tblHeader/>
        </w:trPr>
        <w:tc>
          <w:tcPr>
            <w:tcW w:w="1975" w:type="dxa"/>
          </w:tcPr>
          <w:p w14:paraId="6B70EDCF" w14:textId="77777777" w:rsidR="00DD6BD6" w:rsidRPr="00DD6BD6" w:rsidRDefault="00DD6BD6" w:rsidP="00CE76DA">
            <w:pPr>
              <w:autoSpaceDE w:val="0"/>
              <w:autoSpaceDN w:val="0"/>
              <w:adjustRightInd w:val="0"/>
              <w:jc w:val="center"/>
              <w:rPr>
                <w:b/>
                <w:bCs/>
                <w:sz w:val="28"/>
                <w:szCs w:val="28"/>
              </w:rPr>
            </w:pPr>
          </w:p>
        </w:tc>
        <w:tc>
          <w:tcPr>
            <w:tcW w:w="2699" w:type="dxa"/>
          </w:tcPr>
          <w:p w14:paraId="666008BF" w14:textId="77777777" w:rsidR="00DD6BD6" w:rsidRPr="00DD6BD6" w:rsidRDefault="00DD6BD6" w:rsidP="00CE76DA">
            <w:pPr>
              <w:autoSpaceDE w:val="0"/>
              <w:autoSpaceDN w:val="0"/>
              <w:adjustRightInd w:val="0"/>
              <w:jc w:val="center"/>
              <w:rPr>
                <w:b/>
                <w:bCs/>
                <w:sz w:val="28"/>
                <w:szCs w:val="28"/>
              </w:rPr>
            </w:pPr>
            <w:r>
              <w:rPr>
                <w:b/>
                <w:bCs/>
                <w:sz w:val="28"/>
                <w:szCs w:val="28"/>
              </w:rPr>
              <w:t>Sheltered Employ.</w:t>
            </w:r>
          </w:p>
        </w:tc>
        <w:tc>
          <w:tcPr>
            <w:tcW w:w="2338" w:type="dxa"/>
          </w:tcPr>
          <w:p w14:paraId="0D3C6C9E" w14:textId="77777777" w:rsidR="00DD6BD6" w:rsidRPr="00DD6BD6" w:rsidRDefault="00DD6BD6" w:rsidP="00CE76DA">
            <w:pPr>
              <w:autoSpaceDE w:val="0"/>
              <w:autoSpaceDN w:val="0"/>
              <w:adjustRightInd w:val="0"/>
              <w:jc w:val="center"/>
              <w:rPr>
                <w:b/>
                <w:bCs/>
                <w:sz w:val="28"/>
                <w:szCs w:val="28"/>
              </w:rPr>
            </w:pPr>
            <w:r>
              <w:rPr>
                <w:b/>
                <w:bCs/>
                <w:sz w:val="28"/>
                <w:szCs w:val="28"/>
              </w:rPr>
              <w:t>Off-Site Group</w:t>
            </w:r>
          </w:p>
        </w:tc>
        <w:tc>
          <w:tcPr>
            <w:tcW w:w="2338" w:type="dxa"/>
          </w:tcPr>
          <w:p w14:paraId="621FAC15" w14:textId="77777777" w:rsidR="00DD6BD6" w:rsidRPr="00DD6BD6" w:rsidRDefault="00DD6BD6" w:rsidP="00CE76DA">
            <w:pPr>
              <w:autoSpaceDE w:val="0"/>
              <w:autoSpaceDN w:val="0"/>
              <w:adjustRightInd w:val="0"/>
              <w:jc w:val="center"/>
              <w:rPr>
                <w:b/>
                <w:bCs/>
                <w:sz w:val="28"/>
                <w:szCs w:val="28"/>
              </w:rPr>
            </w:pPr>
            <w:r>
              <w:rPr>
                <w:b/>
                <w:bCs/>
                <w:sz w:val="28"/>
                <w:szCs w:val="28"/>
              </w:rPr>
              <w:t>Individual Job</w:t>
            </w:r>
          </w:p>
        </w:tc>
      </w:tr>
      <w:tr w:rsidR="00DD6BD6" w:rsidRPr="00DD6BD6" w14:paraId="0A33B97B" w14:textId="77777777" w:rsidTr="00CE76DA">
        <w:tc>
          <w:tcPr>
            <w:tcW w:w="1975" w:type="dxa"/>
          </w:tcPr>
          <w:p w14:paraId="146E108E" w14:textId="77777777" w:rsidR="00DD6BD6" w:rsidRPr="00DD6BD6" w:rsidRDefault="00DD6BD6" w:rsidP="00CE76DA">
            <w:pPr>
              <w:autoSpaceDE w:val="0"/>
              <w:autoSpaceDN w:val="0"/>
              <w:adjustRightInd w:val="0"/>
              <w:rPr>
                <w:sz w:val="28"/>
                <w:szCs w:val="28"/>
              </w:rPr>
            </w:pPr>
            <w:r w:rsidRPr="00DD6BD6">
              <w:rPr>
                <w:sz w:val="28"/>
                <w:szCs w:val="28"/>
              </w:rPr>
              <w:t>18-24 yrs</w:t>
            </w:r>
          </w:p>
        </w:tc>
        <w:tc>
          <w:tcPr>
            <w:tcW w:w="2699" w:type="dxa"/>
          </w:tcPr>
          <w:p w14:paraId="5D7DE523" w14:textId="094FAF6B" w:rsidR="00DD6BD6" w:rsidRPr="00DD6BD6" w:rsidRDefault="00201A5B" w:rsidP="00CE76DA">
            <w:pPr>
              <w:autoSpaceDE w:val="0"/>
              <w:autoSpaceDN w:val="0"/>
              <w:adjustRightInd w:val="0"/>
              <w:jc w:val="center"/>
              <w:rPr>
                <w:sz w:val="28"/>
                <w:szCs w:val="28"/>
              </w:rPr>
            </w:pPr>
            <w:r>
              <w:rPr>
                <w:sz w:val="28"/>
                <w:szCs w:val="28"/>
              </w:rPr>
              <w:t>$3.46</w:t>
            </w:r>
          </w:p>
        </w:tc>
        <w:tc>
          <w:tcPr>
            <w:tcW w:w="2338" w:type="dxa"/>
          </w:tcPr>
          <w:p w14:paraId="41CC497B" w14:textId="297ED178" w:rsidR="00DD6BD6" w:rsidRPr="00DD6BD6" w:rsidRDefault="00201A5B" w:rsidP="00CE76DA">
            <w:pPr>
              <w:autoSpaceDE w:val="0"/>
              <w:autoSpaceDN w:val="0"/>
              <w:adjustRightInd w:val="0"/>
              <w:jc w:val="center"/>
              <w:rPr>
                <w:sz w:val="28"/>
                <w:szCs w:val="28"/>
              </w:rPr>
            </w:pPr>
            <w:r>
              <w:rPr>
                <w:sz w:val="28"/>
                <w:szCs w:val="28"/>
              </w:rPr>
              <w:t>$6.14</w:t>
            </w:r>
          </w:p>
        </w:tc>
        <w:tc>
          <w:tcPr>
            <w:tcW w:w="2338" w:type="dxa"/>
          </w:tcPr>
          <w:p w14:paraId="552BBE63" w14:textId="7114350F" w:rsidR="00DD6BD6" w:rsidRPr="00DD6BD6" w:rsidRDefault="00201A5B" w:rsidP="00CE76DA">
            <w:pPr>
              <w:autoSpaceDE w:val="0"/>
              <w:autoSpaceDN w:val="0"/>
              <w:adjustRightInd w:val="0"/>
              <w:jc w:val="center"/>
              <w:rPr>
                <w:sz w:val="28"/>
                <w:szCs w:val="28"/>
              </w:rPr>
            </w:pPr>
            <w:r>
              <w:rPr>
                <w:sz w:val="28"/>
                <w:szCs w:val="28"/>
              </w:rPr>
              <w:t>$8.97</w:t>
            </w:r>
          </w:p>
        </w:tc>
      </w:tr>
      <w:tr w:rsidR="00DD6BD6" w:rsidRPr="00DD6BD6" w14:paraId="60E22EE9" w14:textId="77777777" w:rsidTr="00CE76DA">
        <w:tc>
          <w:tcPr>
            <w:tcW w:w="1975" w:type="dxa"/>
          </w:tcPr>
          <w:p w14:paraId="7D5F4B2B" w14:textId="77777777" w:rsidR="00DD6BD6" w:rsidRPr="00DD6BD6" w:rsidRDefault="00DD6BD6" w:rsidP="00CE76DA">
            <w:pPr>
              <w:autoSpaceDE w:val="0"/>
              <w:autoSpaceDN w:val="0"/>
              <w:adjustRightInd w:val="0"/>
              <w:rPr>
                <w:sz w:val="28"/>
                <w:szCs w:val="28"/>
              </w:rPr>
            </w:pPr>
            <w:r>
              <w:rPr>
                <w:sz w:val="28"/>
                <w:szCs w:val="28"/>
              </w:rPr>
              <w:t>25-29%</w:t>
            </w:r>
          </w:p>
        </w:tc>
        <w:tc>
          <w:tcPr>
            <w:tcW w:w="2699" w:type="dxa"/>
          </w:tcPr>
          <w:p w14:paraId="4BD3A642" w14:textId="091F4E32" w:rsidR="00DD6BD6" w:rsidRPr="00DD6BD6" w:rsidRDefault="00201A5B" w:rsidP="00CE76DA">
            <w:pPr>
              <w:autoSpaceDE w:val="0"/>
              <w:autoSpaceDN w:val="0"/>
              <w:adjustRightInd w:val="0"/>
              <w:jc w:val="center"/>
              <w:rPr>
                <w:sz w:val="28"/>
                <w:szCs w:val="28"/>
              </w:rPr>
            </w:pPr>
            <w:r>
              <w:rPr>
                <w:sz w:val="28"/>
                <w:szCs w:val="28"/>
              </w:rPr>
              <w:t>$3.05</w:t>
            </w:r>
          </w:p>
        </w:tc>
        <w:tc>
          <w:tcPr>
            <w:tcW w:w="2338" w:type="dxa"/>
          </w:tcPr>
          <w:p w14:paraId="119E12B6" w14:textId="2A78FF06" w:rsidR="00DD6BD6" w:rsidRPr="00DD6BD6" w:rsidRDefault="00201A5B" w:rsidP="00CE76DA">
            <w:pPr>
              <w:autoSpaceDE w:val="0"/>
              <w:autoSpaceDN w:val="0"/>
              <w:adjustRightInd w:val="0"/>
              <w:jc w:val="center"/>
              <w:rPr>
                <w:sz w:val="28"/>
                <w:szCs w:val="28"/>
              </w:rPr>
            </w:pPr>
            <w:r>
              <w:rPr>
                <w:sz w:val="28"/>
                <w:szCs w:val="28"/>
              </w:rPr>
              <w:t>$8.51</w:t>
            </w:r>
          </w:p>
        </w:tc>
        <w:tc>
          <w:tcPr>
            <w:tcW w:w="2338" w:type="dxa"/>
          </w:tcPr>
          <w:p w14:paraId="784096B2" w14:textId="6EE5F48B" w:rsidR="00DD6BD6" w:rsidRPr="00DD6BD6" w:rsidRDefault="00201A5B" w:rsidP="00CE76DA">
            <w:pPr>
              <w:autoSpaceDE w:val="0"/>
              <w:autoSpaceDN w:val="0"/>
              <w:adjustRightInd w:val="0"/>
              <w:jc w:val="center"/>
              <w:rPr>
                <w:sz w:val="28"/>
                <w:szCs w:val="28"/>
              </w:rPr>
            </w:pPr>
            <w:r>
              <w:rPr>
                <w:sz w:val="28"/>
                <w:szCs w:val="28"/>
              </w:rPr>
              <w:t>$13.12</w:t>
            </w:r>
          </w:p>
        </w:tc>
      </w:tr>
    </w:tbl>
    <w:p w14:paraId="3AFAF870" w14:textId="72225BA6" w:rsidR="007A704C" w:rsidRPr="00EE2F11" w:rsidRDefault="00C7326D" w:rsidP="00F42B14">
      <w:pPr>
        <w:pStyle w:val="Heading1"/>
      </w:pPr>
      <w:bookmarkStart w:id="13" w:name="_Toc39135706"/>
      <w:r w:rsidRPr="00EE2F11">
        <w:lastRenderedPageBreak/>
        <w:t xml:space="preserve">By </w:t>
      </w:r>
      <w:r w:rsidR="00891EF7" w:rsidRPr="00EE2F11">
        <w:t>T</w:t>
      </w:r>
      <w:r w:rsidRPr="00EE2F11">
        <w:t xml:space="preserve">he </w:t>
      </w:r>
      <w:r w:rsidR="001F3464" w:rsidRPr="00EE2F11">
        <w:t>Setting</w:t>
      </w:r>
      <w:r w:rsidR="00AD3B8F" w:rsidRPr="00EE2F11">
        <w:t xml:space="preserve"> . . . </w:t>
      </w:r>
      <w:r w:rsidR="00891EF7" w:rsidRPr="00EE2F11">
        <w:t>By The Number</w:t>
      </w:r>
      <w:r w:rsidR="00BF6792" w:rsidRPr="00EE2F11">
        <w:t>s</w:t>
      </w:r>
      <w:bookmarkEnd w:id="13"/>
    </w:p>
    <w:p w14:paraId="78F414FA" w14:textId="3FA56B92" w:rsidR="002D0A9E" w:rsidRDefault="00536237" w:rsidP="00F42B14">
      <w:pPr>
        <w:pStyle w:val="Heading2"/>
      </w:pPr>
      <w:bookmarkStart w:id="14" w:name="_Toc39135707"/>
      <w:r w:rsidRPr="00536237">
        <w:t>Sheltered Workshop</w:t>
      </w:r>
      <w:bookmarkEnd w:id="14"/>
    </w:p>
    <w:p w14:paraId="4901C6E4" w14:textId="77777777" w:rsidR="00536237" w:rsidRPr="00536237" w:rsidRDefault="00536237" w:rsidP="00536237">
      <w:r w:rsidRPr="00536237">
        <w:t>Sheltered employment refers to a facility-based employment setting where workers either perform work tasks or receive work-oriented services. Twenty-seven percent (2,614 individuals) spent their day in the sheltered workshop.</w:t>
      </w:r>
    </w:p>
    <w:p w14:paraId="585E021D" w14:textId="0333907B" w:rsidR="006621C0" w:rsidRDefault="00BF6792" w:rsidP="00776B41">
      <w:pPr>
        <w:pStyle w:val="Heading3"/>
      </w:pPr>
      <w:r w:rsidRPr="00BF6792">
        <w:t xml:space="preserve">Who </w:t>
      </w:r>
      <w:r w:rsidR="004F1B16">
        <w:t>was Working in the Facility-Based Setting</w:t>
      </w:r>
      <w:r w:rsidRPr="00BF6792">
        <w:t>?</w:t>
      </w:r>
    </w:p>
    <w:p w14:paraId="4B362837" w14:textId="22914E28" w:rsidR="00F22C22" w:rsidRPr="003E5CED" w:rsidRDefault="00E52E88">
      <w:r w:rsidRPr="003E5CED">
        <w:t>Eighty-three percent (83%) of those working</w:t>
      </w:r>
      <w:r w:rsidR="00CE0188" w:rsidRPr="003E5CED">
        <w:t xml:space="preserve"> (n=2,614)</w:t>
      </w:r>
      <w:r w:rsidRPr="003E5CED">
        <w:t xml:space="preserve"> in the facility-based setting had an intellectual disability. Of all individuals in the setting, o</w:t>
      </w:r>
      <w:r w:rsidR="00C7326D" w:rsidRPr="003E5CED">
        <w:t xml:space="preserve">ver half (51%) having a mild </w:t>
      </w:r>
      <w:r w:rsidR="001C5604" w:rsidRPr="003E5CED">
        <w:t>i</w:t>
      </w:r>
      <w:r w:rsidR="00F22C22" w:rsidRPr="003E5CED">
        <w:t xml:space="preserve">ntellectual disability; and 27% moderate intellectual disability; </w:t>
      </w:r>
      <w:r w:rsidR="0003081E" w:rsidRPr="003E5CED">
        <w:t xml:space="preserve">and 8% with </w:t>
      </w:r>
      <w:r w:rsidR="00CE0188" w:rsidRPr="003E5CED">
        <w:t>a</w:t>
      </w:r>
      <w:r w:rsidR="0003081E" w:rsidRPr="003E5CED">
        <w:t>utism as the primary disability.</w:t>
      </w:r>
    </w:p>
    <w:p w14:paraId="35525356" w14:textId="6BAA32DE" w:rsidR="00F22C22" w:rsidRDefault="00373701" w:rsidP="00776B41">
      <w:pPr>
        <w:pStyle w:val="Heading3"/>
      </w:pPr>
      <w:r w:rsidRPr="00373701">
        <w:t>Type of Work</w:t>
      </w:r>
      <w:r w:rsidR="00436EAE">
        <w:t>, Setting</w:t>
      </w:r>
      <w:r w:rsidRPr="00373701">
        <w:t xml:space="preserve"> and Pay</w:t>
      </w:r>
    </w:p>
    <w:p w14:paraId="568FF4BE" w14:textId="46A99E3E" w:rsidR="00F22C22" w:rsidRPr="0056200E" w:rsidRDefault="00E7477A" w:rsidP="006669B4">
      <w:pPr>
        <w:pStyle w:val="BulletList"/>
      </w:pPr>
      <w:r w:rsidRPr="0056200E">
        <w:t>Ninety percent</w:t>
      </w:r>
      <w:r w:rsidR="00853FBD" w:rsidRPr="0056200E">
        <w:t xml:space="preserve"> </w:t>
      </w:r>
      <w:r w:rsidRPr="0056200E">
        <w:t>(</w:t>
      </w:r>
      <w:r w:rsidR="00F22C22" w:rsidRPr="0056200E">
        <w:t>90%</w:t>
      </w:r>
      <w:r w:rsidRPr="0056200E">
        <w:t>)</w:t>
      </w:r>
      <w:r w:rsidR="00F22C22" w:rsidRPr="0056200E">
        <w:t xml:space="preserve"> of the work is assembly or manufacturing</w:t>
      </w:r>
      <w:r w:rsidR="0056200E" w:rsidRPr="0056200E">
        <w:t>.</w:t>
      </w:r>
    </w:p>
    <w:p w14:paraId="654203AE" w14:textId="3A897711" w:rsidR="00436EAE" w:rsidRPr="0056200E" w:rsidRDefault="00853FBD" w:rsidP="006669B4">
      <w:pPr>
        <w:pStyle w:val="BulletList"/>
        <w:rPr>
          <w:sz w:val="28"/>
          <w:szCs w:val="28"/>
        </w:rPr>
      </w:pPr>
      <w:r w:rsidRPr="0056200E">
        <w:t>Ninety percent (90%)</w:t>
      </w:r>
      <w:r w:rsidR="00436EAE" w:rsidRPr="0056200E">
        <w:t xml:space="preserve"> worked with nine or more individuals with disabilities in the immediate environment</w:t>
      </w:r>
      <w:r w:rsidR="0056200E" w:rsidRPr="0056200E">
        <w:t>.</w:t>
      </w:r>
    </w:p>
    <w:p w14:paraId="6F691A2E" w14:textId="17C34DB9" w:rsidR="00172653" w:rsidRPr="0056200E" w:rsidRDefault="002027C9" w:rsidP="006669B4">
      <w:pPr>
        <w:pStyle w:val="BulletList"/>
      </w:pPr>
      <w:r w:rsidRPr="0056200E">
        <w:t xml:space="preserve">Ninety percent (90%) </w:t>
      </w:r>
      <w:r w:rsidR="00172653" w:rsidRPr="0056200E">
        <w:t>of the individuals received their paycheck from the rehabilitation support agency</w:t>
      </w:r>
      <w:r w:rsidR="0056200E" w:rsidRPr="0056200E">
        <w:t>.</w:t>
      </w:r>
    </w:p>
    <w:p w14:paraId="3F1247B6" w14:textId="7F4511A8" w:rsidR="002039DD" w:rsidRPr="0056200E" w:rsidRDefault="002039DD" w:rsidP="006669B4">
      <w:pPr>
        <w:pStyle w:val="BulletList"/>
      </w:pPr>
      <w:r w:rsidRPr="0056200E">
        <w:t xml:space="preserve">Individuals worked an average of </w:t>
      </w:r>
      <w:r w:rsidR="002027C9" w:rsidRPr="0056200E">
        <w:t>24</w:t>
      </w:r>
      <w:r w:rsidRPr="0056200E">
        <w:t xml:space="preserve"> hours with an average of $2.</w:t>
      </w:r>
      <w:r w:rsidR="002027C9" w:rsidRPr="0056200E">
        <w:t>71</w:t>
      </w:r>
      <w:r w:rsidRPr="0056200E">
        <w:t xml:space="preserve"> (range of $.01 to $8.00)</w:t>
      </w:r>
      <w:r w:rsidR="0056200E" w:rsidRPr="0056200E">
        <w:t>.</w:t>
      </w:r>
    </w:p>
    <w:p w14:paraId="0613FB26" w14:textId="5C949BE8" w:rsidR="00F22C22" w:rsidRPr="0003081E" w:rsidRDefault="00F22C22" w:rsidP="00776B41">
      <w:pPr>
        <w:pStyle w:val="Heading3"/>
      </w:pPr>
      <w:r w:rsidRPr="0003081E">
        <w:t>Employer Benefits</w:t>
      </w:r>
    </w:p>
    <w:p w14:paraId="066134A4" w14:textId="475BFEC4" w:rsidR="00F22C22" w:rsidRPr="00FA6EC6" w:rsidRDefault="00813263">
      <w:r>
        <w:t>Seventy-nine percent (79</w:t>
      </w:r>
      <w:r w:rsidR="00F22C22" w:rsidRPr="00FA6EC6">
        <w:t>%</w:t>
      </w:r>
      <w:r>
        <w:t>)</w:t>
      </w:r>
      <w:r w:rsidR="00F22C22" w:rsidRPr="00FA6EC6">
        <w:t xml:space="preserve"> of those working in sheltered workshops don’t have any employer benefits; 15% had paid vacation; and 5% had paid sick leave.</w:t>
      </w:r>
    </w:p>
    <w:p w14:paraId="3021AA13" w14:textId="1C601163" w:rsidR="00BE3E37" w:rsidRPr="0040074E" w:rsidRDefault="00696153" w:rsidP="00776B41">
      <w:pPr>
        <w:pStyle w:val="Heading3"/>
      </w:pPr>
      <w:r w:rsidRPr="0040074E">
        <w:t>Secondary Environment</w:t>
      </w:r>
    </w:p>
    <w:p w14:paraId="54413737" w14:textId="65977E41" w:rsidR="00764604" w:rsidRDefault="00764604">
      <w:r w:rsidRPr="00764604">
        <w:t>Individuals (</w:t>
      </w:r>
      <w:r w:rsidR="0040074E">
        <w:t>493</w:t>
      </w:r>
      <w:r w:rsidRPr="00764604">
        <w:t xml:space="preserve"> or </w:t>
      </w:r>
      <w:r w:rsidR="0040074E">
        <w:t>19</w:t>
      </w:r>
      <w:r w:rsidRPr="00764604">
        <w:t xml:space="preserve">%) in sheltered workshops also spent time in a secondary setting </w:t>
      </w:r>
      <w:r w:rsidR="00BB7A7E">
        <w:t xml:space="preserve">with </w:t>
      </w:r>
      <w:r w:rsidRPr="00764604">
        <w:t>an average of 8 hours per week.</w:t>
      </w:r>
      <w:r w:rsidR="00BE3E37" w:rsidRPr="00FA6EC6">
        <w:tab/>
      </w:r>
    </w:p>
    <w:p w14:paraId="33043BCA" w14:textId="17F1C7EE" w:rsidR="00BE3E37" w:rsidRPr="0056200E" w:rsidRDefault="0056200E" w:rsidP="006669B4">
      <w:pPr>
        <w:pStyle w:val="BulletList"/>
      </w:pPr>
      <w:r>
        <w:t>Fifty percent (</w:t>
      </w:r>
      <w:r w:rsidR="0040074E" w:rsidRPr="0056200E">
        <w:t>50</w:t>
      </w:r>
      <w:r w:rsidR="00BE3E37" w:rsidRPr="0056200E">
        <w:t>%</w:t>
      </w:r>
      <w:r>
        <w:t>)</w:t>
      </w:r>
      <w:r w:rsidR="00BE3E37" w:rsidRPr="0056200E">
        <w:t xml:space="preserve"> were in a non-employment day program</w:t>
      </w:r>
      <w:r w:rsidR="00C91779">
        <w:t>.</w:t>
      </w:r>
    </w:p>
    <w:p w14:paraId="01343B39" w14:textId="318FBB38" w:rsidR="00BE3E37" w:rsidRPr="0056200E" w:rsidRDefault="0056200E" w:rsidP="006669B4">
      <w:pPr>
        <w:pStyle w:val="BulletList"/>
      </w:pPr>
      <w:r>
        <w:t>Eighteen percent (</w:t>
      </w:r>
      <w:r w:rsidR="00BE3E37" w:rsidRPr="0056200E">
        <w:t>1</w:t>
      </w:r>
      <w:r w:rsidR="0040074E" w:rsidRPr="0056200E">
        <w:t>8</w:t>
      </w:r>
      <w:r w:rsidR="00BE3E37" w:rsidRPr="0056200E">
        <w:t>%</w:t>
      </w:r>
      <w:r>
        <w:t>)</w:t>
      </w:r>
      <w:r w:rsidR="00BE3E37" w:rsidRPr="0056200E">
        <w:t xml:space="preserve"> were in an individual job</w:t>
      </w:r>
      <w:r w:rsidR="00C91779">
        <w:t>.</w:t>
      </w:r>
    </w:p>
    <w:p w14:paraId="6F8B324F" w14:textId="720E314D" w:rsidR="00902254" w:rsidRPr="0056200E" w:rsidRDefault="0056200E" w:rsidP="006669B4">
      <w:pPr>
        <w:pStyle w:val="BulletList"/>
      </w:pPr>
      <w:r>
        <w:lastRenderedPageBreak/>
        <w:t>Twenty-two percent (</w:t>
      </w:r>
      <w:r w:rsidR="00BE3E37" w:rsidRPr="0056200E">
        <w:t>2</w:t>
      </w:r>
      <w:r w:rsidR="0040074E" w:rsidRPr="0056200E">
        <w:t>2</w:t>
      </w:r>
      <w:r w:rsidR="00BE3E37" w:rsidRPr="0056200E">
        <w:t>%</w:t>
      </w:r>
      <w:r>
        <w:t>)</w:t>
      </w:r>
      <w:r w:rsidR="00BE3E37" w:rsidRPr="0056200E">
        <w:t xml:space="preserve"> were in Alternatives to Employment (e.g., community access, looking for job)</w:t>
      </w:r>
      <w:r w:rsidR="00C91779">
        <w:t>.</w:t>
      </w:r>
    </w:p>
    <w:p w14:paraId="1C7920A7" w14:textId="39DEF9E5" w:rsidR="00902254" w:rsidRDefault="00902254" w:rsidP="00776B41">
      <w:pPr>
        <w:pStyle w:val="Heading3"/>
      </w:pPr>
      <w:r w:rsidRPr="0040074E">
        <w:t>Transportation</w:t>
      </w:r>
    </w:p>
    <w:p w14:paraId="1824742C" w14:textId="1CAFCAFB" w:rsidR="000F6410" w:rsidRPr="00023230" w:rsidRDefault="0040074E" w:rsidP="00C26E88">
      <w:pPr>
        <w:rPr>
          <w:b/>
        </w:rPr>
      </w:pPr>
      <w:r>
        <w:rPr>
          <w:rFonts w:cs="Calibri"/>
          <w:color w:val="000000"/>
        </w:rPr>
        <w:t>Sixty-four percent (64%) of i</w:t>
      </w:r>
      <w:r w:rsidR="00902254" w:rsidRPr="00023230">
        <w:rPr>
          <w:rFonts w:cs="Calibri"/>
          <w:color w:val="000000"/>
        </w:rPr>
        <w:t xml:space="preserve">ndividuals </w:t>
      </w:r>
      <w:r>
        <w:rPr>
          <w:rFonts w:cs="Calibri"/>
          <w:color w:val="000000"/>
        </w:rPr>
        <w:t xml:space="preserve">in facility-based services </w:t>
      </w:r>
      <w:r w:rsidR="00902254" w:rsidRPr="00023230">
        <w:rPr>
          <w:rFonts w:cs="Calibri"/>
          <w:color w:val="000000"/>
        </w:rPr>
        <w:t>get to work or receive services</w:t>
      </w:r>
      <w:r>
        <w:rPr>
          <w:rFonts w:cs="Calibri"/>
          <w:color w:val="000000"/>
        </w:rPr>
        <w:t xml:space="preserve"> by the residential program. Forty-three percent (43%)</w:t>
      </w:r>
      <w:r w:rsidR="00C26E88">
        <w:rPr>
          <w:rFonts w:cs="Calibri"/>
          <w:color w:val="000000"/>
        </w:rPr>
        <w:t xml:space="preserve"> </w:t>
      </w:r>
      <w:r w:rsidR="004633EF">
        <w:rPr>
          <w:rFonts w:cs="Calibri"/>
          <w:color w:val="000000"/>
        </w:rPr>
        <w:t>of families or friends also provide transportation. Individuals may have more than one mode of transportation.</w:t>
      </w:r>
    </w:p>
    <w:p w14:paraId="2FAF73B7" w14:textId="77777777" w:rsidR="005F6E5B" w:rsidRDefault="005F6E5B">
      <w:pPr>
        <w:spacing w:after="0" w:line="240" w:lineRule="auto"/>
        <w:rPr>
          <w:b/>
          <w:sz w:val="36"/>
          <w:szCs w:val="28"/>
        </w:rPr>
      </w:pPr>
      <w:r>
        <w:br w:type="page"/>
      </w:r>
    </w:p>
    <w:p w14:paraId="41B4DB22" w14:textId="7C6AFE6C" w:rsidR="006621C0" w:rsidRDefault="00536237" w:rsidP="00F42B14">
      <w:pPr>
        <w:pStyle w:val="Heading2"/>
      </w:pPr>
      <w:bookmarkStart w:id="15" w:name="_Toc39135708"/>
      <w:r w:rsidRPr="00536237">
        <w:lastRenderedPageBreak/>
        <w:t>Individual Jobs</w:t>
      </w:r>
      <w:bookmarkEnd w:id="15"/>
      <w:r w:rsidRPr="00536237">
        <w:t xml:space="preserve"> </w:t>
      </w:r>
    </w:p>
    <w:p w14:paraId="72C5530D" w14:textId="77777777" w:rsidR="00536237" w:rsidRPr="00536237" w:rsidRDefault="00536237" w:rsidP="00536237">
      <w:r w:rsidRPr="00536237">
        <w:t>Individuals perform work tasks in a local business or industry alongside nondisabled coworkers for competitive wages. Twenty-two percent (2,297 individuals) of all individuals spent the majority of their day in a competitive job.</w:t>
      </w:r>
    </w:p>
    <w:p w14:paraId="13FB83BB" w14:textId="2C271A48" w:rsidR="005F4B80" w:rsidRPr="003F4ECC" w:rsidRDefault="003F4ECC" w:rsidP="00776B41">
      <w:pPr>
        <w:pStyle w:val="Heading3"/>
      </w:pPr>
      <w:r w:rsidRPr="003F4ECC">
        <w:t xml:space="preserve">Who Was Working </w:t>
      </w:r>
      <w:r w:rsidR="004F1B16">
        <w:t xml:space="preserve">in </w:t>
      </w:r>
      <w:r w:rsidRPr="003F4ECC">
        <w:t>Competitively</w:t>
      </w:r>
      <w:r w:rsidR="004F1B16">
        <w:t>, Integrated Settings</w:t>
      </w:r>
      <w:r w:rsidRPr="003F4ECC">
        <w:t>?</w:t>
      </w:r>
    </w:p>
    <w:p w14:paraId="58ACE216" w14:textId="217BB418" w:rsidR="002D0A9E" w:rsidRPr="00C91779" w:rsidRDefault="005F10C9" w:rsidP="002D0A9E">
      <w:r w:rsidRPr="00C91779">
        <w:t>T</w:t>
      </w:r>
      <w:r w:rsidR="00276402" w:rsidRPr="00C91779">
        <w:t xml:space="preserve">he majority </w:t>
      </w:r>
      <w:r w:rsidRPr="00C91779">
        <w:t xml:space="preserve">of individuals </w:t>
      </w:r>
      <w:r w:rsidR="00276402" w:rsidRPr="00C91779">
        <w:t>had a primary disability of</w:t>
      </w:r>
      <w:r w:rsidR="002D0A9E" w:rsidRPr="00C91779">
        <w:t xml:space="preserve"> </w:t>
      </w:r>
      <w:r w:rsidR="00EC4121" w:rsidRPr="00C91779">
        <w:t>i</w:t>
      </w:r>
      <w:r w:rsidR="002D0A9E" w:rsidRPr="00C91779">
        <w:t xml:space="preserve">ntellectual </w:t>
      </w:r>
      <w:r w:rsidR="00EC4121" w:rsidRPr="00C91779">
        <w:t>d</w:t>
      </w:r>
      <w:r w:rsidR="002D0A9E" w:rsidRPr="00C91779">
        <w:t>isability</w:t>
      </w:r>
      <w:r w:rsidRPr="00C91779">
        <w:t xml:space="preserve"> (46%)</w:t>
      </w:r>
      <w:r w:rsidR="002D0A9E" w:rsidRPr="00C91779">
        <w:t xml:space="preserve">; and </w:t>
      </w:r>
      <w:r w:rsidRPr="00C91779">
        <w:t>22</w:t>
      </w:r>
      <w:r w:rsidR="002D0A9E" w:rsidRPr="00C91779">
        <w:t xml:space="preserve">% </w:t>
      </w:r>
      <w:r w:rsidR="0003081E" w:rsidRPr="00C91779">
        <w:t>with autism</w:t>
      </w:r>
      <w:r w:rsidR="002D0A9E" w:rsidRPr="00C91779">
        <w:t xml:space="preserve">; </w:t>
      </w:r>
      <w:r w:rsidR="0003081E" w:rsidRPr="00C91779">
        <w:t xml:space="preserve">and </w:t>
      </w:r>
      <w:r w:rsidRPr="00C91779">
        <w:t>8</w:t>
      </w:r>
      <w:r w:rsidR="0003081E" w:rsidRPr="00C91779">
        <w:t>% with mental illness</w:t>
      </w:r>
      <w:r w:rsidRPr="00C91779">
        <w:t>. Of those with an ID</w:t>
      </w:r>
      <w:r w:rsidR="004D0751" w:rsidRPr="00C91779">
        <w:t xml:space="preserve"> (1,052)</w:t>
      </w:r>
      <w:r w:rsidRPr="00C91779">
        <w:t xml:space="preserve">, </w:t>
      </w:r>
      <w:r w:rsidR="004D0751" w:rsidRPr="00C91779">
        <w:t>75% had a mild ID; 23% moderate, and 2 % severe</w:t>
      </w:r>
      <w:r w:rsidR="00B25FFC" w:rsidRPr="00C91779">
        <w:t xml:space="preserve"> ID</w:t>
      </w:r>
      <w:r w:rsidR="004D0751" w:rsidRPr="00C91779">
        <w:t>.</w:t>
      </w:r>
    </w:p>
    <w:p w14:paraId="2923B85B" w14:textId="66F48ABC" w:rsidR="003F4ECC" w:rsidRDefault="003F4ECC" w:rsidP="00776B41">
      <w:pPr>
        <w:pStyle w:val="Heading3"/>
      </w:pPr>
      <w:r w:rsidRPr="003F4ECC">
        <w:t>Type of Work</w:t>
      </w:r>
      <w:r w:rsidR="00436EAE">
        <w:t>, Setting</w:t>
      </w:r>
      <w:r w:rsidRPr="003F4ECC">
        <w:t xml:space="preserve"> and Pay</w:t>
      </w:r>
    </w:p>
    <w:p w14:paraId="2FB8FAF3" w14:textId="7FD3676A" w:rsidR="00A11E7B" w:rsidRPr="00EE2F11" w:rsidRDefault="00A11E7B" w:rsidP="00EE2F11">
      <w:pPr>
        <w:pStyle w:val="BulletList"/>
      </w:pPr>
      <w:r w:rsidRPr="00EE2F11">
        <w:t>Thirty-six percent (</w:t>
      </w:r>
      <w:r w:rsidR="003F4ECC" w:rsidRPr="00EE2F11">
        <w:t>3</w:t>
      </w:r>
      <w:r w:rsidRPr="00EE2F11">
        <w:t>6</w:t>
      </w:r>
      <w:r w:rsidR="003F4ECC" w:rsidRPr="00EE2F11">
        <w:t>%</w:t>
      </w:r>
      <w:r w:rsidRPr="00EE2F11">
        <w:t>)</w:t>
      </w:r>
      <w:r w:rsidR="003F4ECC" w:rsidRPr="00EE2F11">
        <w:t xml:space="preserve"> had a new employer within the last 6 months</w:t>
      </w:r>
      <w:r w:rsidR="00BB7A7E" w:rsidRPr="00EE2F11">
        <w:t>.</w:t>
      </w:r>
    </w:p>
    <w:p w14:paraId="654CE069" w14:textId="77777777" w:rsidR="00A11E7B" w:rsidRPr="00EE2F11" w:rsidRDefault="00A11E7B" w:rsidP="00EE2F11">
      <w:pPr>
        <w:pStyle w:val="BulletList"/>
      </w:pPr>
      <w:r w:rsidRPr="00EE2F11">
        <w:t>V</w:t>
      </w:r>
      <w:r w:rsidR="002802B9" w:rsidRPr="00EE2F11">
        <w:t xml:space="preserve">ariation </w:t>
      </w:r>
      <w:r w:rsidR="00172653" w:rsidRPr="00EE2F11">
        <w:t xml:space="preserve">of jobs </w:t>
      </w:r>
      <w:r w:rsidR="002802B9" w:rsidRPr="00EE2F11">
        <w:t>compared to other settings</w:t>
      </w:r>
      <w:r w:rsidRPr="00EE2F11">
        <w:t xml:space="preserve"> included thirty-three percent (33%) worked in</w:t>
      </w:r>
      <w:r w:rsidR="002D0A9E" w:rsidRPr="00EE2F11">
        <w:t xml:space="preserve"> </w:t>
      </w:r>
      <w:r w:rsidRPr="00EE2F11">
        <w:t>the</w:t>
      </w:r>
      <w:r w:rsidR="00D25E57" w:rsidRPr="00EE2F11">
        <w:t xml:space="preserve"> food service</w:t>
      </w:r>
      <w:r w:rsidR="002802B9" w:rsidRPr="00EE2F11">
        <w:t xml:space="preserve"> industry</w:t>
      </w:r>
      <w:r w:rsidR="00D25E57" w:rsidRPr="00EE2F11">
        <w:t>; 2</w:t>
      </w:r>
      <w:r w:rsidRPr="00EE2F11">
        <w:t>4</w:t>
      </w:r>
      <w:r w:rsidR="00D25E57" w:rsidRPr="00EE2F11">
        <w:t xml:space="preserve">% grocery/retail; </w:t>
      </w:r>
      <w:r w:rsidR="002802B9" w:rsidRPr="00EE2F11">
        <w:t>1</w:t>
      </w:r>
      <w:r w:rsidRPr="00EE2F11">
        <w:t>2</w:t>
      </w:r>
      <w:r w:rsidR="002802B9" w:rsidRPr="00EE2F11">
        <w:t>% were employed in the</w:t>
      </w:r>
      <w:r w:rsidR="00132BDC" w:rsidRPr="00EE2F11">
        <w:t xml:space="preserve"> </w:t>
      </w:r>
      <w:r w:rsidR="002802B9" w:rsidRPr="00EE2F11">
        <w:t>janitorial/housekeeping/laundry</w:t>
      </w:r>
      <w:r w:rsidR="00023230" w:rsidRPr="00EE2F11">
        <w:t xml:space="preserve"> and </w:t>
      </w:r>
      <w:r w:rsidRPr="00EE2F11">
        <w:t>7</w:t>
      </w:r>
      <w:r w:rsidR="00023230" w:rsidRPr="00EE2F11">
        <w:t xml:space="preserve">% in packaging/assembly/manufacturing. </w:t>
      </w:r>
    </w:p>
    <w:p w14:paraId="2EE23176" w14:textId="6C334B9C" w:rsidR="00436EAE" w:rsidRPr="00EE2F11" w:rsidRDefault="00436EAE" w:rsidP="00EE2F11">
      <w:pPr>
        <w:pStyle w:val="BulletList"/>
      </w:pPr>
      <w:r w:rsidRPr="00EE2F11">
        <w:t>Individuals worked an average of 20 hours with an average of $</w:t>
      </w:r>
      <w:r w:rsidR="00A11E7B" w:rsidRPr="00EE2F11">
        <w:t>10</w:t>
      </w:r>
      <w:r w:rsidRPr="00EE2F11">
        <w:t>.</w:t>
      </w:r>
      <w:r w:rsidR="00A11E7B" w:rsidRPr="00EE2F11">
        <w:t>36</w:t>
      </w:r>
      <w:r w:rsidRPr="00EE2F11">
        <w:t xml:space="preserve"> (range of $7.25 to $30.00)</w:t>
      </w:r>
      <w:r w:rsidR="00BB7A7E" w:rsidRPr="00EE2F11">
        <w:t>.</w:t>
      </w:r>
    </w:p>
    <w:p w14:paraId="57EA6CCF" w14:textId="06E8947D" w:rsidR="00436EAE" w:rsidRPr="00EE2F11" w:rsidRDefault="00A11E7B" w:rsidP="00EE2F11">
      <w:pPr>
        <w:pStyle w:val="BulletList"/>
      </w:pPr>
      <w:r w:rsidRPr="00EE2F11">
        <w:t>Ninety-one percent (</w:t>
      </w:r>
      <w:r w:rsidR="00436EAE" w:rsidRPr="00EE2F11">
        <w:t>9</w:t>
      </w:r>
      <w:r w:rsidRPr="00EE2F11">
        <w:t>1</w:t>
      </w:r>
      <w:r w:rsidR="00436EAE" w:rsidRPr="00EE2F11">
        <w:t>%</w:t>
      </w:r>
      <w:r w:rsidRPr="00EE2F11">
        <w:t>)</w:t>
      </w:r>
      <w:r w:rsidR="00436EAE" w:rsidRPr="00EE2F11">
        <w:t xml:space="preserve"> of the individuals received their paycheck from individual employer</w:t>
      </w:r>
      <w:r w:rsidR="00BB7A7E" w:rsidRPr="00EE2F11">
        <w:t>.</w:t>
      </w:r>
    </w:p>
    <w:p w14:paraId="0A49FF77" w14:textId="62E16609" w:rsidR="00BD4B0D" w:rsidRPr="00A11E7B" w:rsidRDefault="00BD4B0D" w:rsidP="00776B41">
      <w:pPr>
        <w:pStyle w:val="Heading3"/>
      </w:pPr>
      <w:r w:rsidRPr="00A11E7B">
        <w:t>Hours of Follow-along</w:t>
      </w:r>
    </w:p>
    <w:p w14:paraId="2ED6743D" w14:textId="77777777" w:rsidR="00BB7A7E" w:rsidRDefault="00BB7A7E" w:rsidP="00BB7A7E">
      <w:pPr>
        <w:rPr>
          <w:b/>
          <w:sz w:val="28"/>
          <w:szCs w:val="28"/>
        </w:rPr>
      </w:pPr>
      <w:r w:rsidRPr="00764604">
        <w:rPr>
          <w:spacing w:val="-3"/>
        </w:rPr>
        <w:t xml:space="preserve">The number of hours for extended services, or follow-along to help the employee </w:t>
      </w:r>
      <w:r>
        <w:rPr>
          <w:spacing w:val="-3"/>
        </w:rPr>
        <w:t>retain</w:t>
      </w:r>
      <w:r w:rsidRPr="00764604">
        <w:rPr>
          <w:spacing w:val="-3"/>
        </w:rPr>
        <w:t xml:space="preserve"> their job</w:t>
      </w:r>
    </w:p>
    <w:p w14:paraId="765F40EA" w14:textId="2C4994F9" w:rsidR="00503B38" w:rsidRPr="00A11E7B" w:rsidRDefault="00F43FA1" w:rsidP="00EE2F11">
      <w:pPr>
        <w:pStyle w:val="BulletList"/>
      </w:pPr>
      <w:r>
        <w:t>Thirty-two percent (</w:t>
      </w:r>
      <w:r w:rsidR="00503B38" w:rsidRPr="00A11E7B">
        <w:t>3</w:t>
      </w:r>
      <w:r w:rsidR="00774B59">
        <w:t>2</w:t>
      </w:r>
      <w:r w:rsidR="00503B38" w:rsidRPr="00A11E7B">
        <w:t>%</w:t>
      </w:r>
      <w:r>
        <w:t>)</w:t>
      </w:r>
      <w:r w:rsidR="00503B38" w:rsidRPr="00A11E7B">
        <w:t xml:space="preserve"> did not receive any </w:t>
      </w:r>
      <w:r w:rsidR="00843BA1" w:rsidRPr="00A11E7B">
        <w:t xml:space="preserve">hours of </w:t>
      </w:r>
      <w:r w:rsidR="00503B38" w:rsidRPr="00A11E7B">
        <w:t>follow-along services</w:t>
      </w:r>
      <w:r w:rsidR="00BB7A7E">
        <w:t>.</w:t>
      </w:r>
    </w:p>
    <w:p w14:paraId="47D2FED2" w14:textId="1DE4D08D" w:rsidR="00503B38" w:rsidRPr="00A11E7B" w:rsidRDefault="00BD20F2" w:rsidP="00EE2F11">
      <w:pPr>
        <w:pStyle w:val="BulletList"/>
      </w:pPr>
      <w:r>
        <w:t>Twenty-one percent (</w:t>
      </w:r>
      <w:r w:rsidR="00774B59">
        <w:t>21</w:t>
      </w:r>
      <w:r w:rsidR="00503B38" w:rsidRPr="00A11E7B">
        <w:t>%</w:t>
      </w:r>
      <w:r>
        <w:t>)</w:t>
      </w:r>
      <w:r w:rsidR="00503B38" w:rsidRPr="00A11E7B">
        <w:t xml:space="preserve"> received 1-4 hours</w:t>
      </w:r>
      <w:r w:rsidR="00BB7A7E">
        <w:t>.</w:t>
      </w:r>
    </w:p>
    <w:p w14:paraId="3641D847" w14:textId="6E217E9F" w:rsidR="00503B38" w:rsidRPr="00A11E7B" w:rsidRDefault="00BD20F2" w:rsidP="00EE2F11">
      <w:pPr>
        <w:pStyle w:val="BulletList"/>
      </w:pPr>
      <w:r>
        <w:t>Thirty-four percent (</w:t>
      </w:r>
      <w:r w:rsidR="00774B59">
        <w:t>34</w:t>
      </w:r>
      <w:r w:rsidR="00503B38" w:rsidRPr="00A11E7B">
        <w:t>%</w:t>
      </w:r>
      <w:r>
        <w:t>)</w:t>
      </w:r>
      <w:r w:rsidR="00503B38" w:rsidRPr="00A11E7B">
        <w:t xml:space="preserve"> received 5-10 hours</w:t>
      </w:r>
      <w:r w:rsidR="00BB7A7E">
        <w:t>.</w:t>
      </w:r>
    </w:p>
    <w:p w14:paraId="39B5251A" w14:textId="211CE297" w:rsidR="00503B38" w:rsidRPr="00A11E7B" w:rsidRDefault="0012475E" w:rsidP="00EE2F11">
      <w:pPr>
        <w:pStyle w:val="BulletList"/>
      </w:pPr>
      <w:r>
        <w:t>Two percent. (</w:t>
      </w:r>
      <w:r w:rsidR="00774B59">
        <w:t>2</w:t>
      </w:r>
      <w:r w:rsidR="00503B38" w:rsidRPr="00A11E7B">
        <w:t>%</w:t>
      </w:r>
      <w:r>
        <w:t>)</w:t>
      </w:r>
      <w:r w:rsidR="00503B38" w:rsidRPr="00A11E7B">
        <w:t xml:space="preserve"> received 11-15 hours</w:t>
      </w:r>
      <w:r w:rsidR="00BB7A7E">
        <w:t>.</w:t>
      </w:r>
    </w:p>
    <w:p w14:paraId="1CB90E82" w14:textId="6C2D7140" w:rsidR="00503B38" w:rsidRPr="00A11E7B" w:rsidRDefault="0012475E" w:rsidP="00EE2F11">
      <w:pPr>
        <w:pStyle w:val="BulletList"/>
      </w:pPr>
      <w:r>
        <w:t>Eleven percent (</w:t>
      </w:r>
      <w:r w:rsidR="00774B59">
        <w:t>11</w:t>
      </w:r>
      <w:r w:rsidR="00503B38" w:rsidRPr="00A11E7B">
        <w:t>%</w:t>
      </w:r>
      <w:r>
        <w:t>)</w:t>
      </w:r>
      <w:r w:rsidR="00503B38" w:rsidRPr="00A11E7B">
        <w:t xml:space="preserve"> received 1</w:t>
      </w:r>
      <w:r w:rsidR="00057AEA" w:rsidRPr="00A11E7B">
        <w:t>6</w:t>
      </w:r>
      <w:r w:rsidR="00503B38" w:rsidRPr="00A11E7B">
        <w:t xml:space="preserve"> or more hours</w:t>
      </w:r>
      <w:r w:rsidR="00BB7A7E">
        <w:t>.</w:t>
      </w:r>
    </w:p>
    <w:p w14:paraId="78B2E11D" w14:textId="293D0ABD" w:rsidR="00BD4B0D" w:rsidRDefault="00C6307D" w:rsidP="00776B41">
      <w:pPr>
        <w:pStyle w:val="Heading3"/>
      </w:pPr>
      <w:r>
        <w:t xml:space="preserve">Of the </w:t>
      </w:r>
      <w:r w:rsidR="0075086C">
        <w:t>733</w:t>
      </w:r>
      <w:r>
        <w:t xml:space="preserve"> individuals who are no longer receiving any follow-along services</w:t>
      </w:r>
    </w:p>
    <w:p w14:paraId="59DF9031" w14:textId="265E9F82" w:rsidR="00394647" w:rsidRPr="0075086C" w:rsidRDefault="00A24B71" w:rsidP="00EE2F11">
      <w:pPr>
        <w:pStyle w:val="BulletList"/>
      </w:pPr>
      <w:r>
        <w:t>Twenty-five percent (</w:t>
      </w:r>
      <w:r w:rsidR="0075086C">
        <w:t>2</w:t>
      </w:r>
      <w:r w:rsidR="00394647" w:rsidRPr="0075086C">
        <w:t>5%</w:t>
      </w:r>
      <w:r>
        <w:t>)</w:t>
      </w:r>
      <w:r w:rsidR="00394647" w:rsidRPr="0075086C">
        <w:t xml:space="preserve"> were successfully placed</w:t>
      </w:r>
      <w:r w:rsidR="00BB7A7E">
        <w:t>.</w:t>
      </w:r>
    </w:p>
    <w:p w14:paraId="1E701E62" w14:textId="171A106D" w:rsidR="001A1D70" w:rsidRPr="0075086C" w:rsidRDefault="00A24B71" w:rsidP="00EE2F11">
      <w:pPr>
        <w:pStyle w:val="BulletList"/>
      </w:pPr>
      <w:r>
        <w:lastRenderedPageBreak/>
        <w:t>Twenty-four percent (</w:t>
      </w:r>
      <w:r w:rsidR="001A1D70" w:rsidRPr="0075086C">
        <w:t>2</w:t>
      </w:r>
      <w:r w:rsidR="0075086C">
        <w:t>4</w:t>
      </w:r>
      <w:r w:rsidR="001A1D70" w:rsidRPr="0075086C">
        <w:t>%</w:t>
      </w:r>
      <w:r>
        <w:t>) were</w:t>
      </w:r>
      <w:r w:rsidR="001A1D70" w:rsidRPr="0075086C">
        <w:t xml:space="preserve"> customer choice</w:t>
      </w:r>
      <w:r w:rsidR="00BB7A7E">
        <w:t>.</w:t>
      </w:r>
    </w:p>
    <w:p w14:paraId="1B443936" w14:textId="5DF4E30A" w:rsidR="001A1D70" w:rsidRPr="0075086C" w:rsidRDefault="00A24B71" w:rsidP="00EE2F11">
      <w:pPr>
        <w:pStyle w:val="BulletList"/>
      </w:pPr>
      <w:r>
        <w:t>Twenty-three percent (</w:t>
      </w:r>
      <w:r w:rsidR="0075086C">
        <w:t>2</w:t>
      </w:r>
      <w:r w:rsidR="001A1D70" w:rsidRPr="0075086C">
        <w:t>3%</w:t>
      </w:r>
      <w:r>
        <w:t>) had</w:t>
      </w:r>
      <w:r w:rsidR="001A1D70" w:rsidRPr="0075086C">
        <w:t xml:space="preserve"> no funding</w:t>
      </w:r>
      <w:r w:rsidR="00BB7A7E">
        <w:t>.</w:t>
      </w:r>
    </w:p>
    <w:p w14:paraId="10ACCFB1" w14:textId="16B6CE60" w:rsidR="001A1D70" w:rsidRDefault="00A24B71" w:rsidP="00EE2F11">
      <w:pPr>
        <w:pStyle w:val="BulletList"/>
      </w:pPr>
      <w:r>
        <w:t>Two percent (</w:t>
      </w:r>
      <w:r w:rsidR="0075086C">
        <w:t>2</w:t>
      </w:r>
      <w:r w:rsidR="001A1D70" w:rsidRPr="0075086C">
        <w:t>%</w:t>
      </w:r>
      <w:r>
        <w:t>) was the</w:t>
      </w:r>
      <w:r w:rsidR="001A1D70" w:rsidRPr="0075086C">
        <w:t xml:space="preserve"> agency decision</w:t>
      </w:r>
      <w:r w:rsidR="00BB7A7E">
        <w:t>.</w:t>
      </w:r>
    </w:p>
    <w:p w14:paraId="795FF20F" w14:textId="12C9618B" w:rsidR="0075086C" w:rsidRPr="0075086C" w:rsidRDefault="00A24B71" w:rsidP="00EE2F11">
      <w:pPr>
        <w:pStyle w:val="BulletList"/>
      </w:pPr>
      <w:r w:rsidRPr="0009323F">
        <w:rPr>
          <w:color w:val="000000" w:themeColor="text1"/>
        </w:rPr>
        <w:t>Twenty-five percent (</w:t>
      </w:r>
      <w:r w:rsidR="0075086C" w:rsidRPr="0009323F">
        <w:rPr>
          <w:color w:val="000000" w:themeColor="text1"/>
        </w:rPr>
        <w:t>2</w:t>
      </w:r>
      <w:r w:rsidR="0009323F" w:rsidRPr="0009323F">
        <w:rPr>
          <w:color w:val="000000" w:themeColor="text1"/>
        </w:rPr>
        <w:t>5</w:t>
      </w:r>
      <w:r w:rsidR="0075086C">
        <w:t>%</w:t>
      </w:r>
      <w:r>
        <w:t>) listed “o</w:t>
      </w:r>
      <w:r w:rsidR="0075086C">
        <w:t>ther</w:t>
      </w:r>
      <w:r>
        <w:t>” that included</w:t>
      </w:r>
      <w:r w:rsidR="00BB7A7E">
        <w:t xml:space="preserve"> job loss, receiving other VR services.</w:t>
      </w:r>
    </w:p>
    <w:p w14:paraId="6AE2A5F1" w14:textId="5B25076A" w:rsidR="002D0A9E" w:rsidRPr="00BD4B0D" w:rsidRDefault="00776B41" w:rsidP="00776B41">
      <w:pPr>
        <w:pStyle w:val="Heading3"/>
      </w:pPr>
      <w:r>
        <w:t>Employer Benefits</w:t>
      </w:r>
    </w:p>
    <w:p w14:paraId="1EA41000" w14:textId="77632339" w:rsidR="002D0A9E" w:rsidRPr="003F4ECC" w:rsidRDefault="0001556D" w:rsidP="002D0A9E">
      <w:r>
        <w:t xml:space="preserve">Of those working competitively, </w:t>
      </w:r>
      <w:r w:rsidR="005F4B80" w:rsidRPr="003F4ECC">
        <w:t>6</w:t>
      </w:r>
      <w:r w:rsidR="005A32BC">
        <w:t>6</w:t>
      </w:r>
      <w:r w:rsidR="002D0A9E" w:rsidRPr="003F4ECC">
        <w:t>% d</w:t>
      </w:r>
      <w:r w:rsidR="00EC18A9">
        <w:t>id</w:t>
      </w:r>
      <w:r w:rsidR="002D790C" w:rsidRPr="003F4ECC">
        <w:t xml:space="preserve"> not</w:t>
      </w:r>
      <w:r w:rsidR="002D0A9E" w:rsidRPr="003F4ECC">
        <w:t xml:space="preserve"> have any employer benefits; </w:t>
      </w:r>
      <w:r>
        <w:t>19</w:t>
      </w:r>
      <w:r w:rsidR="002D0A9E" w:rsidRPr="003F4ECC">
        <w:t xml:space="preserve">% had paid vacation; and </w:t>
      </w:r>
      <w:r w:rsidR="005F4B80" w:rsidRPr="003F4ECC">
        <w:t>14</w:t>
      </w:r>
      <w:r w:rsidR="002D0A9E" w:rsidRPr="003F4ECC">
        <w:t>% had paid sick leave</w:t>
      </w:r>
      <w:r w:rsidR="005F4B80" w:rsidRPr="003F4ECC">
        <w:t>; 1</w:t>
      </w:r>
      <w:r>
        <w:t>1</w:t>
      </w:r>
      <w:r w:rsidR="005F4B80" w:rsidRPr="003F4ECC">
        <w:t>% had medical</w:t>
      </w:r>
      <w:r w:rsidR="00F93182">
        <w:t>,</w:t>
      </w:r>
      <w:r w:rsidR="005F4B80" w:rsidRPr="003F4ECC">
        <w:t xml:space="preserve"> and 7% retirement</w:t>
      </w:r>
      <w:r w:rsidR="002D0A9E" w:rsidRPr="003F4ECC">
        <w:t>.</w:t>
      </w:r>
    </w:p>
    <w:p w14:paraId="6EC8ED63" w14:textId="7DF78174" w:rsidR="002D0A9E" w:rsidRDefault="002802B9" w:rsidP="00DC1B18">
      <w:pPr>
        <w:pStyle w:val="Heading3"/>
      </w:pPr>
      <w:r w:rsidRPr="002802B9">
        <w:t>Secondary Environment</w:t>
      </w:r>
    </w:p>
    <w:p w14:paraId="68CFA51E" w14:textId="60547EC8" w:rsidR="00764604" w:rsidRPr="00764604" w:rsidRDefault="00764604" w:rsidP="002D0A9E">
      <w:r w:rsidRPr="00764604">
        <w:t>Individuals who had a job also spent time in a secondary setting. Approximately 2</w:t>
      </w:r>
      <w:r w:rsidR="00D205C0">
        <w:t>80</w:t>
      </w:r>
      <w:r w:rsidRPr="00764604">
        <w:t>, or 12% of the individuals spent an average of 1</w:t>
      </w:r>
      <w:r w:rsidR="00D205C0">
        <w:t>1</w:t>
      </w:r>
      <w:r w:rsidRPr="00764604">
        <w:t xml:space="preserve"> hours in another setting.</w:t>
      </w:r>
    </w:p>
    <w:p w14:paraId="39257399" w14:textId="396CC1DA" w:rsidR="002D0A9E" w:rsidRPr="00D205C0" w:rsidRDefault="00D205C0" w:rsidP="001E7E3E">
      <w:pPr>
        <w:pStyle w:val="BulletList"/>
      </w:pPr>
      <w:r>
        <w:t>Nineteen percent (</w:t>
      </w:r>
      <w:r w:rsidRPr="00D205C0">
        <w:t>19</w:t>
      </w:r>
      <w:r w:rsidR="002D0A9E" w:rsidRPr="00D205C0">
        <w:t>%</w:t>
      </w:r>
      <w:r>
        <w:t>)</w:t>
      </w:r>
      <w:r w:rsidR="002D0A9E" w:rsidRPr="00D205C0">
        <w:t xml:space="preserve"> were in </w:t>
      </w:r>
      <w:r w:rsidR="002D790C" w:rsidRPr="00D205C0">
        <w:t>a sheltered workshop</w:t>
      </w:r>
      <w:r w:rsidR="00C91779">
        <w:t>.</w:t>
      </w:r>
    </w:p>
    <w:p w14:paraId="6CD07937" w14:textId="13E0FD94" w:rsidR="002D0A9E" w:rsidRPr="00D205C0" w:rsidRDefault="00D205C0" w:rsidP="001E7E3E">
      <w:pPr>
        <w:pStyle w:val="BulletList"/>
      </w:pPr>
      <w:r>
        <w:t>Nine percent (</w:t>
      </w:r>
      <w:r w:rsidRPr="00D205C0">
        <w:t>9</w:t>
      </w:r>
      <w:r w:rsidR="002D0A9E" w:rsidRPr="00D205C0">
        <w:t>%</w:t>
      </w:r>
      <w:r>
        <w:t>)</w:t>
      </w:r>
      <w:r w:rsidR="002D0A9E" w:rsidRPr="00D205C0">
        <w:t xml:space="preserve"> </w:t>
      </w:r>
      <w:r w:rsidR="002D790C" w:rsidRPr="00D205C0">
        <w:t>had another</w:t>
      </w:r>
      <w:r w:rsidR="002D0A9E" w:rsidRPr="00D205C0">
        <w:t xml:space="preserve"> individual job</w:t>
      </w:r>
      <w:r w:rsidR="00C91779">
        <w:t>.</w:t>
      </w:r>
    </w:p>
    <w:p w14:paraId="0581A466" w14:textId="7249CA40" w:rsidR="002D790C" w:rsidRPr="00D205C0" w:rsidRDefault="00D205C0" w:rsidP="001E7E3E">
      <w:pPr>
        <w:pStyle w:val="BulletList"/>
      </w:pPr>
      <w:r>
        <w:t>Thirty-five percent (</w:t>
      </w:r>
      <w:r w:rsidRPr="00D205C0">
        <w:t>35</w:t>
      </w:r>
      <w:r w:rsidR="002D790C" w:rsidRPr="00D205C0">
        <w:t>%</w:t>
      </w:r>
      <w:r>
        <w:t>)</w:t>
      </w:r>
      <w:r w:rsidR="002D790C" w:rsidRPr="00D205C0">
        <w:t xml:space="preserve"> were in a non-employment day program</w:t>
      </w:r>
      <w:r w:rsidR="00C91779">
        <w:t>.</w:t>
      </w:r>
    </w:p>
    <w:p w14:paraId="08CCABD0" w14:textId="4AE5F08A" w:rsidR="00901801" w:rsidRPr="00D205C0" w:rsidRDefault="00D205C0" w:rsidP="001E7E3E">
      <w:pPr>
        <w:pStyle w:val="BulletList"/>
      </w:pPr>
      <w:r>
        <w:t>Two percent (</w:t>
      </w:r>
      <w:r w:rsidR="00901801" w:rsidRPr="00D205C0">
        <w:t>2%</w:t>
      </w:r>
      <w:r>
        <w:t>)</w:t>
      </w:r>
      <w:r w:rsidR="00901801" w:rsidRPr="00D205C0">
        <w:t xml:space="preserve"> were in an off-site group</w:t>
      </w:r>
      <w:r w:rsidR="00C91779">
        <w:t>.</w:t>
      </w:r>
      <w:r w:rsidR="00901801" w:rsidRPr="00D205C0">
        <w:t xml:space="preserve"> </w:t>
      </w:r>
    </w:p>
    <w:p w14:paraId="14C71B82" w14:textId="52AFCB0A" w:rsidR="002D0A9E" w:rsidRPr="00D205C0" w:rsidRDefault="00D205C0" w:rsidP="001E7E3E">
      <w:pPr>
        <w:pStyle w:val="BulletList"/>
      </w:pPr>
      <w:r w:rsidRPr="0009323F">
        <w:rPr>
          <w:color w:val="000000" w:themeColor="text1"/>
        </w:rPr>
        <w:t>Thirty-six percent (</w:t>
      </w:r>
      <w:r w:rsidRPr="0009323F">
        <w:rPr>
          <w:bCs/>
          <w:color w:val="000000" w:themeColor="text1"/>
        </w:rPr>
        <w:t>36</w:t>
      </w:r>
      <w:r w:rsidR="002D0A9E" w:rsidRPr="0009323F">
        <w:rPr>
          <w:bCs/>
          <w:color w:val="000000" w:themeColor="text1"/>
        </w:rPr>
        <w:t>%</w:t>
      </w:r>
      <w:r w:rsidRPr="0009323F">
        <w:rPr>
          <w:color w:val="000000" w:themeColor="text1"/>
        </w:rPr>
        <w:t>)</w:t>
      </w:r>
      <w:r w:rsidR="002D0A9E" w:rsidRPr="0009323F">
        <w:rPr>
          <w:color w:val="000000" w:themeColor="text1"/>
        </w:rPr>
        <w:t xml:space="preserve"> were </w:t>
      </w:r>
      <w:r w:rsidR="002D0A9E" w:rsidRPr="00D205C0">
        <w:t>in Alternatives to Employment (e.g., community access</w:t>
      </w:r>
      <w:r w:rsidRPr="00D205C0">
        <w:t>, looking for another job</w:t>
      </w:r>
      <w:r w:rsidR="002D790C" w:rsidRPr="00D205C0">
        <w:t>)</w:t>
      </w:r>
      <w:r w:rsidR="00C91779">
        <w:t>.</w:t>
      </w:r>
    </w:p>
    <w:p w14:paraId="332E9A33" w14:textId="2C7ED62E" w:rsidR="002D0A9E" w:rsidRDefault="002D0A9E" w:rsidP="00DC1B18">
      <w:pPr>
        <w:pStyle w:val="Heading3"/>
      </w:pPr>
      <w:r w:rsidRPr="002802B9">
        <w:t>Transportation</w:t>
      </w:r>
    </w:p>
    <w:p w14:paraId="1DDE5D56" w14:textId="25864EA3" w:rsidR="002D0A9E" w:rsidRPr="002802B9" w:rsidRDefault="00F20BE1" w:rsidP="00F20BE1">
      <w:pPr>
        <w:rPr>
          <w:b/>
        </w:rPr>
      </w:pPr>
      <w:r>
        <w:rPr>
          <w:rFonts w:cs="Calibri"/>
          <w:color w:val="000000"/>
        </w:rPr>
        <w:t>The majority of individuals (64%) relied on their families, friends, co-workers to provide transportation; while 34% utilized public transportation including rural transit</w:t>
      </w:r>
      <w:r w:rsidR="00C91779">
        <w:rPr>
          <w:rFonts w:cs="Calibri"/>
          <w:color w:val="000000"/>
        </w:rPr>
        <w:t>.</w:t>
      </w:r>
    </w:p>
    <w:p w14:paraId="33DFEEC5" w14:textId="77777777" w:rsidR="005F6E5B" w:rsidRDefault="005F6E5B">
      <w:pPr>
        <w:spacing w:after="0" w:line="240" w:lineRule="auto"/>
        <w:rPr>
          <w:b/>
          <w:sz w:val="36"/>
          <w:szCs w:val="28"/>
        </w:rPr>
      </w:pPr>
      <w:r>
        <w:br w:type="page"/>
      </w:r>
    </w:p>
    <w:p w14:paraId="10A1031B" w14:textId="0CE121F2" w:rsidR="003F4ECC" w:rsidRDefault="00536237" w:rsidP="00F42B14">
      <w:pPr>
        <w:pStyle w:val="Heading2"/>
      </w:pPr>
      <w:bookmarkStart w:id="16" w:name="_Toc39135709"/>
      <w:r w:rsidRPr="00536237">
        <w:lastRenderedPageBreak/>
        <w:t>Off-Site Group Employment</w:t>
      </w:r>
      <w:bookmarkEnd w:id="16"/>
    </w:p>
    <w:p w14:paraId="18EFABC3" w14:textId="1DB802DF" w:rsidR="003F4ECC" w:rsidRPr="00536237" w:rsidRDefault="00536237" w:rsidP="00536237">
      <w:r w:rsidRPr="00536237">
        <w:t>Employment as a member of a group of eight or fewer individuals with disabilities perform work and receive ongoing supervision while on the job within a local business or as part of a mobile crew, which moves from contract site to contract site performing services. Only one percent (141 individuals) worked in a small group, nonfacility-based setting.</w:t>
      </w:r>
    </w:p>
    <w:p w14:paraId="113BBB03" w14:textId="1EE0937C" w:rsidR="00654F09" w:rsidRPr="003F4ECC" w:rsidRDefault="00654F09" w:rsidP="00DC1B18">
      <w:pPr>
        <w:pStyle w:val="Heading3"/>
      </w:pPr>
      <w:r w:rsidRPr="003F4ECC">
        <w:t xml:space="preserve">Who </w:t>
      </w:r>
      <w:r w:rsidR="00BC4DF4">
        <w:t>Worked in</w:t>
      </w:r>
      <w:r>
        <w:t xml:space="preserve"> </w:t>
      </w:r>
      <w:r w:rsidR="00DE2801">
        <w:t xml:space="preserve">Off-site </w:t>
      </w:r>
      <w:r>
        <w:t>Group Employment</w:t>
      </w:r>
      <w:r w:rsidRPr="003F4ECC">
        <w:t>?</w:t>
      </w:r>
    </w:p>
    <w:p w14:paraId="18314BC9" w14:textId="63417834" w:rsidR="00172653" w:rsidRPr="00C91779" w:rsidRDefault="00BC4DF4" w:rsidP="00172653">
      <w:r w:rsidRPr="00C91779">
        <w:t>T</w:t>
      </w:r>
      <w:r w:rsidR="00172653" w:rsidRPr="00C91779">
        <w:t>he majority had a primary disability of</w:t>
      </w:r>
      <w:r w:rsidR="00BB139C" w:rsidRPr="00C91779">
        <w:t xml:space="preserve"> intellectual disability (83%) with</w:t>
      </w:r>
      <w:r w:rsidR="00172653" w:rsidRPr="00C91779">
        <w:t xml:space="preserve"> </w:t>
      </w:r>
      <w:r w:rsidR="00BB139C" w:rsidRPr="00C91779">
        <w:t>6</w:t>
      </w:r>
      <w:r w:rsidR="00CC2CD8" w:rsidRPr="00C91779">
        <w:t>7</w:t>
      </w:r>
      <w:r w:rsidR="00172653" w:rsidRPr="00C91779">
        <w:t xml:space="preserve">% </w:t>
      </w:r>
      <w:r w:rsidR="00BB139C" w:rsidRPr="00C91779">
        <w:t>m</w:t>
      </w:r>
      <w:r w:rsidR="00CC2CD8" w:rsidRPr="00C91779">
        <w:t xml:space="preserve">ild </w:t>
      </w:r>
      <w:r w:rsidR="00BB139C" w:rsidRPr="00C91779">
        <w:t>i</w:t>
      </w:r>
      <w:r w:rsidR="00172653" w:rsidRPr="00C91779">
        <w:t xml:space="preserve">ntellectual </w:t>
      </w:r>
      <w:r w:rsidR="00BB139C" w:rsidRPr="00C91779">
        <w:t>d</w:t>
      </w:r>
      <w:r w:rsidR="00172653" w:rsidRPr="00C91779">
        <w:t>isability; 1</w:t>
      </w:r>
      <w:r w:rsidR="00CC2CD8" w:rsidRPr="00C91779">
        <w:t>6</w:t>
      </w:r>
      <w:r w:rsidR="00172653" w:rsidRPr="00C91779">
        <w:t xml:space="preserve">% with </w:t>
      </w:r>
      <w:r w:rsidR="00BB139C" w:rsidRPr="00C91779">
        <w:t>m</w:t>
      </w:r>
      <w:r w:rsidR="00CC2CD8" w:rsidRPr="00C91779">
        <w:t xml:space="preserve">oderate ID; and </w:t>
      </w:r>
      <w:r w:rsidR="00BB139C" w:rsidRPr="00C91779">
        <w:t>7</w:t>
      </w:r>
      <w:r w:rsidR="00CC2CD8" w:rsidRPr="00C91779">
        <w:t xml:space="preserve">% with </w:t>
      </w:r>
      <w:r w:rsidR="00172653" w:rsidRPr="00C91779">
        <w:t>autism</w:t>
      </w:r>
      <w:r w:rsidR="00F93182" w:rsidRPr="00C91779">
        <w:t>.</w:t>
      </w:r>
    </w:p>
    <w:p w14:paraId="5FC01C2E" w14:textId="7E8F370B" w:rsidR="005E49E2" w:rsidRDefault="005E49E2" w:rsidP="00DC1B18">
      <w:pPr>
        <w:pStyle w:val="Heading3"/>
      </w:pPr>
      <w:r w:rsidRPr="003F4ECC">
        <w:t>Type of Work</w:t>
      </w:r>
      <w:r w:rsidR="00132BDC">
        <w:t>, Setting,</w:t>
      </w:r>
      <w:r w:rsidRPr="003F4ECC">
        <w:t xml:space="preserve"> and Pay</w:t>
      </w:r>
    </w:p>
    <w:p w14:paraId="21C09BAD" w14:textId="713FBAEC" w:rsidR="00172653" w:rsidRPr="00C91779" w:rsidRDefault="00791CF0" w:rsidP="00EE2F11">
      <w:pPr>
        <w:pStyle w:val="BulletList"/>
      </w:pPr>
      <w:r w:rsidRPr="00C91779">
        <w:t>Sixty</w:t>
      </w:r>
      <w:r w:rsidR="00971962" w:rsidRPr="00C91779">
        <w:t xml:space="preserve"> </w:t>
      </w:r>
      <w:r w:rsidRPr="00C91779">
        <w:t>percent (</w:t>
      </w:r>
      <w:r w:rsidR="00172653" w:rsidRPr="00C91779">
        <w:t>60%</w:t>
      </w:r>
      <w:r w:rsidRPr="00C91779">
        <w:t>)</w:t>
      </w:r>
      <w:r w:rsidR="00172653" w:rsidRPr="00C91779">
        <w:t xml:space="preserve"> of the individuals worked in assembly or manufacturing</w:t>
      </w:r>
      <w:r w:rsidR="00963379" w:rsidRPr="00C91779">
        <w:t xml:space="preserve"> and </w:t>
      </w:r>
      <w:r w:rsidR="00971962" w:rsidRPr="00C91779">
        <w:t>33</w:t>
      </w:r>
      <w:r w:rsidR="00963379" w:rsidRPr="00C91779">
        <w:t>% in janitorial, housekeeping or laundry industries</w:t>
      </w:r>
      <w:r w:rsidR="00971962" w:rsidRPr="00C91779">
        <w:t>.</w:t>
      </w:r>
      <w:r w:rsidR="00172653" w:rsidRPr="00C91779">
        <w:t xml:space="preserve"> </w:t>
      </w:r>
    </w:p>
    <w:p w14:paraId="34F2F1BC" w14:textId="453DF69D" w:rsidR="00971962" w:rsidRPr="00C91779" w:rsidRDefault="00971962" w:rsidP="00EE2F11">
      <w:pPr>
        <w:pStyle w:val="BulletList"/>
      </w:pPr>
      <w:r w:rsidRPr="00C91779">
        <w:t>Eighty-two percent (82%) were paid by the rehabilitation/support organization and sixteen percent (16%) were paid by the emp</w:t>
      </w:r>
      <w:r w:rsidR="003E5CED" w:rsidRPr="00C91779">
        <w:t>l</w:t>
      </w:r>
      <w:r w:rsidRPr="00C91779">
        <w:t>oyer</w:t>
      </w:r>
      <w:r w:rsidR="003E5CED" w:rsidRPr="00C91779">
        <w:t>.</w:t>
      </w:r>
    </w:p>
    <w:p w14:paraId="0D39C85F" w14:textId="02839031" w:rsidR="00172653" w:rsidRPr="00C91779" w:rsidRDefault="00172653" w:rsidP="00EE2F11">
      <w:pPr>
        <w:pStyle w:val="BulletList"/>
      </w:pPr>
      <w:r w:rsidRPr="00C91779">
        <w:t>Individuals worked an average of 2</w:t>
      </w:r>
      <w:r w:rsidR="00971962" w:rsidRPr="00C91779">
        <w:t>2</w:t>
      </w:r>
      <w:r w:rsidRPr="00C91779">
        <w:t>.5 hours with an average of $</w:t>
      </w:r>
      <w:r w:rsidR="00112376" w:rsidRPr="00C91779">
        <w:t>6</w:t>
      </w:r>
      <w:r w:rsidRPr="00C91779">
        <w:t>.</w:t>
      </w:r>
      <w:r w:rsidR="00112376" w:rsidRPr="00C91779">
        <w:t>95</w:t>
      </w:r>
      <w:r w:rsidRPr="00C91779">
        <w:t xml:space="preserve"> (range of $.05 to $20.00)</w:t>
      </w:r>
      <w:r w:rsidR="003E5CED" w:rsidRPr="00C91779">
        <w:t>.</w:t>
      </w:r>
    </w:p>
    <w:p w14:paraId="391C3852" w14:textId="4DC61E33" w:rsidR="00172653" w:rsidRPr="00132BDC" w:rsidRDefault="00172653" w:rsidP="00DC1B18">
      <w:pPr>
        <w:pStyle w:val="Heading3"/>
      </w:pPr>
      <w:r w:rsidRPr="00132BDC">
        <w:t>Employer Benefits</w:t>
      </w:r>
    </w:p>
    <w:p w14:paraId="221E2AFE" w14:textId="1ACE004C" w:rsidR="00172653" w:rsidRPr="00132BDC" w:rsidRDefault="002C3A11" w:rsidP="00172653">
      <w:r>
        <w:t>Seventy-two percent (72</w:t>
      </w:r>
      <w:r w:rsidR="00172653" w:rsidRPr="00132BDC">
        <w:t>%</w:t>
      </w:r>
      <w:r>
        <w:t>)</w:t>
      </w:r>
      <w:r w:rsidR="00172653" w:rsidRPr="00132BDC">
        <w:t xml:space="preserve"> of those working </w:t>
      </w:r>
      <w:r>
        <w:t>in off-site group setting did</w:t>
      </w:r>
      <w:r w:rsidR="00172653" w:rsidRPr="00132BDC">
        <w:t xml:space="preserve"> not have any employer benefits; </w:t>
      </w:r>
      <w:r w:rsidR="00854FDA">
        <w:t>9</w:t>
      </w:r>
      <w:r w:rsidR="00172653" w:rsidRPr="00132BDC">
        <w:t>% had paid vacation</w:t>
      </w:r>
      <w:r w:rsidR="00854FDA">
        <w:t>.</w:t>
      </w:r>
    </w:p>
    <w:p w14:paraId="6751BF19" w14:textId="689820F1" w:rsidR="00172653" w:rsidRPr="002802B9" w:rsidRDefault="00DC1B18" w:rsidP="00DC1B18">
      <w:pPr>
        <w:pStyle w:val="Heading3"/>
      </w:pPr>
      <w:r>
        <w:t>Secondary Environment</w:t>
      </w:r>
    </w:p>
    <w:p w14:paraId="461D1459" w14:textId="7DD6118C" w:rsidR="00172653" w:rsidRPr="00132BDC" w:rsidRDefault="008D3899" w:rsidP="00EE2F11">
      <w:pPr>
        <w:pStyle w:val="BulletList"/>
      </w:pPr>
      <w:r>
        <w:t>Sixty-one individuals</w:t>
      </w:r>
      <w:r w:rsidR="007906C4" w:rsidRPr="00132BDC">
        <w:t xml:space="preserve"> </w:t>
      </w:r>
      <w:r>
        <w:t>(4</w:t>
      </w:r>
      <w:r w:rsidR="007906C4" w:rsidRPr="00132BDC">
        <w:t>3</w:t>
      </w:r>
      <w:r w:rsidR="00172653" w:rsidRPr="00132BDC">
        <w:t>%</w:t>
      </w:r>
      <w:r>
        <w:t>)</w:t>
      </w:r>
      <w:r w:rsidR="00172653" w:rsidRPr="00132BDC">
        <w:t xml:space="preserve"> spent time in a secondary setting on an average of </w:t>
      </w:r>
      <w:r>
        <w:t>6</w:t>
      </w:r>
      <w:r w:rsidR="007906C4" w:rsidRPr="00132BDC">
        <w:t xml:space="preserve"> </w:t>
      </w:r>
      <w:r w:rsidR="00172653" w:rsidRPr="00132BDC">
        <w:t xml:space="preserve">hours. </w:t>
      </w:r>
    </w:p>
    <w:p w14:paraId="64A2743E" w14:textId="6F0C4C09" w:rsidR="00172653" w:rsidRPr="008D3899" w:rsidRDefault="008D3899" w:rsidP="00EE2F11">
      <w:pPr>
        <w:pStyle w:val="BulletList"/>
      </w:pPr>
      <w:r>
        <w:t>44</w:t>
      </w:r>
      <w:r w:rsidR="00172653" w:rsidRPr="008D3899">
        <w:t>% were in a sheltered workshop</w:t>
      </w:r>
    </w:p>
    <w:p w14:paraId="47526D87" w14:textId="099F7116" w:rsidR="00172653" w:rsidRPr="008D3899" w:rsidRDefault="008D3899" w:rsidP="00EE2F11">
      <w:pPr>
        <w:pStyle w:val="BulletList"/>
      </w:pPr>
      <w:r>
        <w:t>7</w:t>
      </w:r>
      <w:r w:rsidR="00172653" w:rsidRPr="008D3899">
        <w:t xml:space="preserve">% had </w:t>
      </w:r>
      <w:r w:rsidR="007906C4" w:rsidRPr="008D3899">
        <w:t xml:space="preserve">an </w:t>
      </w:r>
      <w:r w:rsidR="00172653" w:rsidRPr="008D3899">
        <w:t>individual job</w:t>
      </w:r>
    </w:p>
    <w:p w14:paraId="4040A950" w14:textId="7BC14404" w:rsidR="00172653" w:rsidRPr="008D3899" w:rsidRDefault="008D3899" w:rsidP="00EE2F11">
      <w:pPr>
        <w:pStyle w:val="BulletList"/>
      </w:pPr>
      <w:r>
        <w:t>21</w:t>
      </w:r>
      <w:r w:rsidR="00172653" w:rsidRPr="008D3899">
        <w:t>% were in a non-employment day program</w:t>
      </w:r>
    </w:p>
    <w:p w14:paraId="67D3B1FD" w14:textId="56D061FA" w:rsidR="00172653" w:rsidRPr="008D3899" w:rsidRDefault="008D3899" w:rsidP="00EE2F11">
      <w:pPr>
        <w:pStyle w:val="BulletList"/>
      </w:pPr>
      <w:r>
        <w:t>21</w:t>
      </w:r>
      <w:r w:rsidR="00172653" w:rsidRPr="008D3899">
        <w:t>% were in Alternatives to Employment (e.g., community access</w:t>
      </w:r>
      <w:r>
        <w:t>, looking for job</w:t>
      </w:r>
      <w:r w:rsidR="00172653" w:rsidRPr="008D3899">
        <w:t>)</w:t>
      </w:r>
    </w:p>
    <w:p w14:paraId="6404E0B2" w14:textId="042DC09C" w:rsidR="00172653" w:rsidRDefault="00172653" w:rsidP="00DC1B18">
      <w:pPr>
        <w:pStyle w:val="Heading3"/>
      </w:pPr>
      <w:r w:rsidRPr="002802B9">
        <w:lastRenderedPageBreak/>
        <w:t>Transportation</w:t>
      </w:r>
    </w:p>
    <w:p w14:paraId="13328CDA" w14:textId="77777777" w:rsidR="00EE2F11" w:rsidRDefault="008D3899" w:rsidP="00132BDC">
      <w:pPr>
        <w:jc w:val="both"/>
        <w:rPr>
          <w:rFonts w:cs="Calibri"/>
          <w:color w:val="000000"/>
        </w:rPr>
      </w:pPr>
      <w:r>
        <w:rPr>
          <w:rFonts w:cs="Calibri"/>
          <w:color w:val="000000"/>
        </w:rPr>
        <w:t>Forty-seven percent (47%) of i</w:t>
      </w:r>
      <w:r w:rsidRPr="00023230">
        <w:rPr>
          <w:rFonts w:cs="Calibri"/>
          <w:color w:val="000000"/>
        </w:rPr>
        <w:t xml:space="preserve">ndividuals </w:t>
      </w:r>
      <w:r>
        <w:rPr>
          <w:rFonts w:cs="Calibri"/>
          <w:color w:val="000000"/>
        </w:rPr>
        <w:t xml:space="preserve">in facility-based services </w:t>
      </w:r>
      <w:r w:rsidRPr="00023230">
        <w:rPr>
          <w:rFonts w:cs="Calibri"/>
          <w:color w:val="000000"/>
        </w:rPr>
        <w:t>get to work or receive services</w:t>
      </w:r>
      <w:r>
        <w:rPr>
          <w:rFonts w:cs="Calibri"/>
          <w:color w:val="000000"/>
        </w:rPr>
        <w:t xml:space="preserve"> by the residential program. Forty-three percent (43%) of families or friends also provide transportation; and 36% used public transportation. Individuals may have more than one mode of transportation.</w:t>
      </w:r>
    </w:p>
    <w:p w14:paraId="7EB1EF4B" w14:textId="77777777" w:rsidR="005F6E5B" w:rsidRDefault="005F6E5B">
      <w:pPr>
        <w:spacing w:after="0" w:line="240" w:lineRule="auto"/>
        <w:rPr>
          <w:b/>
          <w:sz w:val="36"/>
          <w:szCs w:val="28"/>
        </w:rPr>
      </w:pPr>
      <w:r>
        <w:br w:type="page"/>
      </w:r>
    </w:p>
    <w:p w14:paraId="06CBC777" w14:textId="4A42C5FA" w:rsidR="00654F09" w:rsidRPr="00DC1B18" w:rsidRDefault="00536237" w:rsidP="00DC1B18">
      <w:pPr>
        <w:pStyle w:val="Heading2"/>
      </w:pPr>
      <w:bookmarkStart w:id="17" w:name="_Toc39135710"/>
      <w:r w:rsidRPr="00DC1B18">
        <w:lastRenderedPageBreak/>
        <w:t>Non-Employment Day Program</w:t>
      </w:r>
      <w:bookmarkEnd w:id="17"/>
    </w:p>
    <w:p w14:paraId="2B2C2186" w14:textId="77777777" w:rsidR="00536237" w:rsidRPr="00536237" w:rsidRDefault="00536237" w:rsidP="00536237">
      <w:r w:rsidRPr="00536237">
        <w:t>Individuals in these facility-based services learn daily living skills and engaged in non-work activities. A total of 32%, or 3,378 of all individuals in this report are involved in non-employment day programs.</w:t>
      </w:r>
    </w:p>
    <w:p w14:paraId="696DB11F" w14:textId="78EE2C8E" w:rsidR="00132BDC" w:rsidRPr="00132BDC" w:rsidRDefault="00132BDC" w:rsidP="00DC1B18">
      <w:pPr>
        <w:pStyle w:val="Heading3"/>
      </w:pPr>
      <w:r w:rsidRPr="00132BDC">
        <w:t>Who Participate</w:t>
      </w:r>
      <w:r>
        <w:t>d</w:t>
      </w:r>
      <w:r w:rsidRPr="00132BDC">
        <w:t xml:space="preserve"> in Day Programs?</w:t>
      </w:r>
    </w:p>
    <w:p w14:paraId="28B260B7" w14:textId="6D7CC4D5" w:rsidR="007906C4" w:rsidRPr="00132BDC" w:rsidRDefault="00A66DF5" w:rsidP="003E5CED">
      <w:r>
        <w:t>T</w:t>
      </w:r>
      <w:r w:rsidR="007906C4" w:rsidRPr="00132BDC">
        <w:t>he majority</w:t>
      </w:r>
      <w:r>
        <w:t xml:space="preserve"> (77%)</w:t>
      </w:r>
      <w:r w:rsidR="007906C4" w:rsidRPr="00132BDC">
        <w:t xml:space="preserve"> had a primary disability of</w:t>
      </w:r>
      <w:r>
        <w:t xml:space="preserve"> intellectual disability with</w:t>
      </w:r>
      <w:r w:rsidR="007906C4" w:rsidRPr="00132BDC">
        <w:t xml:space="preserve"> </w:t>
      </w:r>
      <w:r w:rsidR="003F5BC3">
        <w:t>29</w:t>
      </w:r>
      <w:r w:rsidR="007906C4" w:rsidRPr="00132BDC">
        <w:t xml:space="preserve">% </w:t>
      </w:r>
      <w:r>
        <w:t>m</w:t>
      </w:r>
      <w:r w:rsidR="007906C4" w:rsidRPr="00132BDC">
        <w:t xml:space="preserve">ild </w:t>
      </w:r>
      <w:r>
        <w:t>i</w:t>
      </w:r>
      <w:r w:rsidR="007906C4" w:rsidRPr="00132BDC">
        <w:t xml:space="preserve">ntellectual </w:t>
      </w:r>
      <w:r>
        <w:t>d</w:t>
      </w:r>
      <w:r w:rsidR="007906C4" w:rsidRPr="00132BDC">
        <w:t xml:space="preserve">isability; </w:t>
      </w:r>
      <w:r w:rsidR="003F5BC3">
        <w:t>26</w:t>
      </w:r>
      <w:r w:rsidR="007906C4" w:rsidRPr="00132BDC">
        <w:t xml:space="preserve">% with </w:t>
      </w:r>
      <w:r>
        <w:t>m</w:t>
      </w:r>
      <w:r w:rsidR="007906C4" w:rsidRPr="00132BDC">
        <w:t xml:space="preserve">oderate ID; </w:t>
      </w:r>
      <w:r w:rsidR="0001447B" w:rsidRPr="00132BDC">
        <w:t>1</w:t>
      </w:r>
      <w:r w:rsidR="003F5BC3">
        <w:t>3</w:t>
      </w:r>
      <w:r w:rsidR="007906C4" w:rsidRPr="00132BDC">
        <w:t xml:space="preserve">% </w:t>
      </w:r>
      <w:r w:rsidR="0001447B" w:rsidRPr="00132BDC">
        <w:t>in the severe range of ID; and</w:t>
      </w:r>
      <w:r w:rsidR="00F93182">
        <w:t>,</w:t>
      </w:r>
      <w:r w:rsidR="0001447B" w:rsidRPr="00132BDC">
        <w:t xml:space="preserve"> </w:t>
      </w:r>
      <w:r w:rsidR="003F5BC3">
        <w:t>9</w:t>
      </w:r>
      <w:r w:rsidR="0001447B" w:rsidRPr="00132BDC">
        <w:t>% in the profound range of ID</w:t>
      </w:r>
      <w:r>
        <w:t>. Other primary disabilities included</w:t>
      </w:r>
      <w:r w:rsidR="0001447B" w:rsidRPr="00132BDC">
        <w:t xml:space="preserve"> 12% </w:t>
      </w:r>
      <w:r w:rsidR="007906C4" w:rsidRPr="00132BDC">
        <w:t>autism</w:t>
      </w:r>
      <w:r w:rsidR="0001447B" w:rsidRPr="00132BDC">
        <w:t xml:space="preserve"> and 4% with cerebral palsy</w:t>
      </w:r>
      <w:r w:rsidR="00F93182">
        <w:t>.</w:t>
      </w:r>
      <w:r w:rsidR="007906C4" w:rsidRPr="00132BDC">
        <w:t xml:space="preserve"> </w:t>
      </w:r>
    </w:p>
    <w:p w14:paraId="438265B1" w14:textId="2799B88E" w:rsidR="00132BDC" w:rsidRDefault="00132BDC" w:rsidP="00DC1B18">
      <w:pPr>
        <w:pStyle w:val="Heading3"/>
      </w:pPr>
      <w:r w:rsidRPr="00132BDC">
        <w:t>Where the Day Program is Located</w:t>
      </w:r>
    </w:p>
    <w:p w14:paraId="225315E7" w14:textId="2C3CEB5D" w:rsidR="00AE51E5" w:rsidRPr="00132BDC" w:rsidRDefault="00F51ED4" w:rsidP="003E5CED">
      <w:r>
        <w:t>Programs were located in a variety of places with 29</w:t>
      </w:r>
      <w:r w:rsidR="00AE51E5" w:rsidRPr="00132BDC">
        <w:t xml:space="preserve">% </w:t>
      </w:r>
      <w:r>
        <w:t xml:space="preserve">of </w:t>
      </w:r>
      <w:r w:rsidR="00AE51E5" w:rsidRPr="00132BDC">
        <w:t>day program</w:t>
      </w:r>
      <w:r>
        <w:t>s</w:t>
      </w:r>
      <w:r w:rsidR="00AE51E5" w:rsidRPr="00132BDC">
        <w:t xml:space="preserve"> </w:t>
      </w:r>
      <w:r w:rsidR="008D669F" w:rsidRPr="00132BDC">
        <w:t xml:space="preserve">located </w:t>
      </w:r>
      <w:r w:rsidR="00AE51E5" w:rsidRPr="00132BDC">
        <w:t>within the sheltered workshop</w:t>
      </w:r>
      <w:r>
        <w:t xml:space="preserve">; </w:t>
      </w:r>
      <w:r w:rsidR="00AE51E5" w:rsidRPr="00132BDC">
        <w:t xml:space="preserve">53% </w:t>
      </w:r>
      <w:r>
        <w:t xml:space="preserve">of </w:t>
      </w:r>
      <w:r w:rsidRPr="00132BDC">
        <w:t>program</w:t>
      </w:r>
      <w:r w:rsidR="001D0781">
        <w:t>s</w:t>
      </w:r>
      <w:r w:rsidRPr="00132BDC">
        <w:t xml:space="preserve"> used a stand-alone building</w:t>
      </w:r>
      <w:r>
        <w:t>; and, 12%</w:t>
      </w:r>
      <w:r w:rsidRPr="00132BDC">
        <w:t xml:space="preserve"> </w:t>
      </w:r>
      <w:r w:rsidR="00AE51E5" w:rsidRPr="00132BDC">
        <w:t>within an office/shopping setting (strip mall)</w:t>
      </w:r>
      <w:r>
        <w:t>.</w:t>
      </w:r>
      <w:r w:rsidR="00AE51E5" w:rsidRPr="00132BDC">
        <w:t xml:space="preserve"> </w:t>
      </w:r>
      <w:r w:rsidR="00954E82">
        <w:t xml:space="preserve"> Seventy-six (76%) spent their day with 9 or more individuals with disabilities.</w:t>
      </w:r>
    </w:p>
    <w:p w14:paraId="5F6020E3" w14:textId="7684E8D8" w:rsidR="007906C4" w:rsidRPr="002802B9" w:rsidRDefault="007906C4" w:rsidP="00DC1B18">
      <w:pPr>
        <w:pStyle w:val="Heading3"/>
      </w:pPr>
      <w:r w:rsidRPr="002802B9">
        <w:t>Secondary Environment</w:t>
      </w:r>
    </w:p>
    <w:p w14:paraId="05DA8DF8" w14:textId="18D6C307" w:rsidR="007906C4" w:rsidRPr="00132BDC" w:rsidRDefault="0063072D" w:rsidP="003E5CED">
      <w:r>
        <w:t>Only seventeen percent (17%) of the individuals (569)</w:t>
      </w:r>
      <w:r w:rsidR="007906C4" w:rsidRPr="00132BDC">
        <w:t xml:space="preserve"> spent time in a secondary setting on an average of 8 hours. </w:t>
      </w:r>
    </w:p>
    <w:p w14:paraId="2C850CFB" w14:textId="6733B925" w:rsidR="007906C4" w:rsidRPr="0063072D" w:rsidRDefault="00B67EAB" w:rsidP="00EE2F11">
      <w:pPr>
        <w:pStyle w:val="BulletList"/>
      </w:pPr>
      <w:r w:rsidRPr="0063072D">
        <w:t>1</w:t>
      </w:r>
      <w:r w:rsidR="0063072D">
        <w:t>9</w:t>
      </w:r>
      <w:r w:rsidR="007906C4" w:rsidRPr="0063072D">
        <w:t>% were in a sheltered workshop</w:t>
      </w:r>
    </w:p>
    <w:p w14:paraId="074FC145" w14:textId="6ADE635A" w:rsidR="007906C4" w:rsidRPr="0063072D" w:rsidRDefault="007906C4" w:rsidP="00EE2F11">
      <w:pPr>
        <w:pStyle w:val="BulletList"/>
      </w:pPr>
      <w:r w:rsidRPr="0063072D">
        <w:t>1</w:t>
      </w:r>
      <w:r w:rsidR="0063072D">
        <w:t>1</w:t>
      </w:r>
      <w:r w:rsidRPr="0063072D">
        <w:t>% had an individual job</w:t>
      </w:r>
    </w:p>
    <w:p w14:paraId="19B61D81" w14:textId="752E81F7" w:rsidR="007906C4" w:rsidRDefault="0023731D" w:rsidP="00EE2F11">
      <w:pPr>
        <w:pStyle w:val="BulletList"/>
      </w:pPr>
      <w:r w:rsidRPr="0063072D">
        <w:t>1</w:t>
      </w:r>
      <w:r w:rsidR="007906C4" w:rsidRPr="0063072D">
        <w:t xml:space="preserve">% </w:t>
      </w:r>
      <w:r w:rsidRPr="0063072D">
        <w:t xml:space="preserve">were in off-site group employment </w:t>
      </w:r>
    </w:p>
    <w:p w14:paraId="143CDA01" w14:textId="0BC02ECF" w:rsidR="0063072D" w:rsidRPr="0063072D" w:rsidRDefault="0063072D" w:rsidP="00EE2F11">
      <w:pPr>
        <w:pStyle w:val="BulletList"/>
      </w:pPr>
      <w:r>
        <w:t>25% were engaged in other nonemployment day activities</w:t>
      </w:r>
    </w:p>
    <w:p w14:paraId="7A96A27F" w14:textId="282A2DDF" w:rsidR="007906C4" w:rsidRPr="0063072D" w:rsidRDefault="0063072D" w:rsidP="00EE2F11">
      <w:pPr>
        <w:pStyle w:val="BulletList"/>
      </w:pPr>
      <w:r>
        <w:t>44</w:t>
      </w:r>
      <w:r w:rsidR="007906C4" w:rsidRPr="0063072D">
        <w:t>% were in Alternatives to Employment (e.g</w:t>
      </w:r>
      <w:r w:rsidRPr="0063072D">
        <w:t>.</w:t>
      </w:r>
      <w:r w:rsidR="007906C4" w:rsidRPr="0063072D">
        <w:t>, community access</w:t>
      </w:r>
      <w:r w:rsidR="0023731D" w:rsidRPr="0063072D">
        <w:t>, looking for a job</w:t>
      </w:r>
      <w:r w:rsidR="007906C4" w:rsidRPr="0063072D">
        <w:t>)</w:t>
      </w:r>
    </w:p>
    <w:p w14:paraId="073F9E39" w14:textId="77777777" w:rsidR="007906C4" w:rsidRPr="002802B9" w:rsidRDefault="007906C4" w:rsidP="00DC1B18">
      <w:pPr>
        <w:pStyle w:val="Heading3"/>
      </w:pPr>
      <w:r w:rsidRPr="002802B9">
        <w:t>Transportation</w:t>
      </w:r>
    </w:p>
    <w:p w14:paraId="663F82EC" w14:textId="3D508A86" w:rsidR="0063072D" w:rsidRPr="002802B9" w:rsidRDefault="0063072D" w:rsidP="0063072D">
      <w:pPr>
        <w:rPr>
          <w:b/>
        </w:rPr>
      </w:pPr>
      <w:r>
        <w:rPr>
          <w:rFonts w:cs="Calibri"/>
          <w:color w:val="000000"/>
        </w:rPr>
        <w:t>Fifty-eight percent (58%) of i</w:t>
      </w:r>
      <w:r w:rsidRPr="00023230">
        <w:rPr>
          <w:rFonts w:cs="Calibri"/>
          <w:color w:val="000000"/>
        </w:rPr>
        <w:t xml:space="preserve">ndividuals </w:t>
      </w:r>
      <w:r>
        <w:rPr>
          <w:rFonts w:cs="Calibri"/>
          <w:color w:val="000000"/>
        </w:rPr>
        <w:t>in non-employment day programs get to the site by the residential program. Forty-</w:t>
      </w:r>
      <w:r w:rsidR="00DD019F">
        <w:rPr>
          <w:rFonts w:cs="Calibri"/>
          <w:color w:val="000000"/>
        </w:rPr>
        <w:t xml:space="preserve">nine </w:t>
      </w:r>
      <w:r>
        <w:rPr>
          <w:rFonts w:cs="Calibri"/>
          <w:color w:val="000000"/>
        </w:rPr>
        <w:t>percent (4</w:t>
      </w:r>
      <w:r w:rsidR="00DD019F">
        <w:rPr>
          <w:rFonts w:cs="Calibri"/>
          <w:color w:val="000000"/>
        </w:rPr>
        <w:t>9</w:t>
      </w:r>
      <w:r>
        <w:rPr>
          <w:rFonts w:cs="Calibri"/>
          <w:color w:val="000000"/>
        </w:rPr>
        <w:t xml:space="preserve">%) of families or friends also provide transportation. Individuals may have more than one mode of transportation. </w:t>
      </w:r>
    </w:p>
    <w:p w14:paraId="1769B9A6" w14:textId="77777777" w:rsidR="005F6E5B" w:rsidRDefault="005F6E5B">
      <w:pPr>
        <w:spacing w:after="0" w:line="240" w:lineRule="auto"/>
        <w:rPr>
          <w:b/>
          <w:sz w:val="36"/>
          <w:szCs w:val="28"/>
        </w:rPr>
      </w:pPr>
      <w:r>
        <w:br w:type="page"/>
      </w:r>
    </w:p>
    <w:p w14:paraId="72E5BB52" w14:textId="17BBB70A" w:rsidR="00536237" w:rsidRDefault="00536237" w:rsidP="00F42B14">
      <w:pPr>
        <w:pStyle w:val="Heading2"/>
      </w:pPr>
      <w:bookmarkStart w:id="18" w:name="_Toc39135711"/>
      <w:r w:rsidRPr="00536237">
        <w:lastRenderedPageBreak/>
        <w:t>Alternative to Employment (ATE)</w:t>
      </w:r>
      <w:bookmarkEnd w:id="18"/>
    </w:p>
    <w:p w14:paraId="0000E7BC" w14:textId="77777777" w:rsidR="00536237" w:rsidRPr="00536237" w:rsidRDefault="00536237" w:rsidP="00EE2F11">
      <w:r w:rsidRPr="00536237">
        <w:t xml:space="preserve">Individuals spent most of their day based on one of the following choices: </w:t>
      </w:r>
    </w:p>
    <w:p w14:paraId="3DC6C202" w14:textId="77777777" w:rsidR="00536237" w:rsidRPr="00EE2F11" w:rsidRDefault="00536237" w:rsidP="00EE2F11">
      <w:pPr>
        <w:pStyle w:val="BulletList"/>
      </w:pPr>
      <w:r w:rsidRPr="00EE2F11">
        <w:t>Choice – the individual chooses not to receive community or facility-based services.</w:t>
      </w:r>
    </w:p>
    <w:p w14:paraId="0D0D8EBD" w14:textId="77777777" w:rsidR="00536237" w:rsidRPr="00EE2F11" w:rsidRDefault="00536237" w:rsidP="00EE2F11">
      <w:pPr>
        <w:pStyle w:val="BulletList"/>
      </w:pPr>
      <w:r w:rsidRPr="00EE2F11">
        <w:t>Community Access – the individual spends most of their time accessing community resources and services (e.g., YMCA, taking computer classes).</w:t>
      </w:r>
    </w:p>
    <w:p w14:paraId="5C2998EA" w14:textId="77777777" w:rsidR="00536237" w:rsidRPr="00EE2F11" w:rsidRDefault="00536237" w:rsidP="00EE2F11">
      <w:pPr>
        <w:pStyle w:val="BulletList"/>
      </w:pPr>
      <w:r w:rsidRPr="00EE2F11">
        <w:t>Looking for job – the individual received pre-placement (e.g., Discovery activities, work experiences, job development services).</w:t>
      </w:r>
    </w:p>
    <w:p w14:paraId="42DC21F3" w14:textId="77777777" w:rsidR="00536237" w:rsidRPr="00EE2F11" w:rsidRDefault="00536237" w:rsidP="00EE2F11">
      <w:pPr>
        <w:pStyle w:val="BulletList"/>
      </w:pPr>
      <w:r w:rsidRPr="00EE2F11">
        <w:t xml:space="preserve">Retired –retired from work. </w:t>
      </w:r>
    </w:p>
    <w:p w14:paraId="120F320F" w14:textId="77777777" w:rsidR="00536237" w:rsidRPr="00EE2F11" w:rsidRDefault="00536237" w:rsidP="00EE2F11">
      <w:pPr>
        <w:pStyle w:val="BulletList"/>
      </w:pPr>
      <w:r w:rsidRPr="00EE2F11">
        <w:t>Volunteer – the individual volunteers time without pay in activities of assistance to others.</w:t>
      </w:r>
    </w:p>
    <w:p w14:paraId="7B8448BA" w14:textId="78FBB887" w:rsidR="00D76799" w:rsidRDefault="00FD5C00" w:rsidP="00DC1B18">
      <w:pPr>
        <w:pStyle w:val="Heading3"/>
      </w:pPr>
      <w:r>
        <w:t>Who Participated in ATE?</w:t>
      </w:r>
    </w:p>
    <w:p w14:paraId="2BBEAA89" w14:textId="0CF20CB2" w:rsidR="00FD5C00" w:rsidRPr="00536237" w:rsidRDefault="001A597E">
      <w:r>
        <w:t>Nineteen</w:t>
      </w:r>
      <w:r w:rsidR="00A457A0" w:rsidRPr="00E624A2">
        <w:t xml:space="preserve"> percent (</w:t>
      </w:r>
      <w:r>
        <w:t>19</w:t>
      </w:r>
      <w:r w:rsidR="00A457A0" w:rsidRPr="00E624A2">
        <w:t xml:space="preserve">%) </w:t>
      </w:r>
      <w:r>
        <w:t>or 1,977</w:t>
      </w:r>
      <w:r w:rsidR="00A457A0" w:rsidRPr="00E624A2">
        <w:t xml:space="preserve"> individuals were engaged in </w:t>
      </w:r>
      <w:r w:rsidR="00C17326" w:rsidRPr="00E624A2">
        <w:t>ATE.  Individuals averaged 7 hour</w:t>
      </w:r>
      <w:r w:rsidR="00764604">
        <w:t>s</w:t>
      </w:r>
      <w:r w:rsidR="00C17326" w:rsidRPr="00E624A2">
        <w:t xml:space="preserve"> per week engaged in ATE activities.</w:t>
      </w:r>
      <w:r w:rsidR="00E624A2" w:rsidRPr="00E624A2">
        <w:t xml:space="preserve"> </w:t>
      </w:r>
      <w:r>
        <w:t>T</w:t>
      </w:r>
      <w:r w:rsidR="00E624A2" w:rsidRPr="00E624A2">
        <w:t>he majority</w:t>
      </w:r>
      <w:r>
        <w:t xml:space="preserve"> of individuals</w:t>
      </w:r>
      <w:r w:rsidR="00873CD6">
        <w:t xml:space="preserve"> (588)</w:t>
      </w:r>
      <w:r w:rsidR="00E624A2" w:rsidRPr="00E624A2">
        <w:t xml:space="preserve"> had a primary disability of </w:t>
      </w:r>
      <w:r w:rsidR="00873CD6">
        <w:t>intellectual disability (30%) with 64</w:t>
      </w:r>
      <w:r w:rsidR="00E624A2" w:rsidRPr="00E624A2">
        <w:t xml:space="preserve">% </w:t>
      </w:r>
      <w:r w:rsidR="00873CD6">
        <w:t>m</w:t>
      </w:r>
      <w:r w:rsidR="00E624A2" w:rsidRPr="00E624A2">
        <w:t xml:space="preserve">ild </w:t>
      </w:r>
      <w:r w:rsidR="00873CD6">
        <w:t>i</w:t>
      </w:r>
      <w:r w:rsidR="00E624A2" w:rsidRPr="00E624A2">
        <w:t xml:space="preserve">ntellectual </w:t>
      </w:r>
      <w:r w:rsidR="00873CD6">
        <w:t>d</w:t>
      </w:r>
      <w:r w:rsidR="00E624A2" w:rsidRPr="00E624A2">
        <w:t>isability</w:t>
      </w:r>
      <w:r w:rsidR="00873CD6">
        <w:t xml:space="preserve"> (n=376)</w:t>
      </w:r>
      <w:r w:rsidR="00E624A2" w:rsidRPr="00E624A2">
        <w:t>; and</w:t>
      </w:r>
      <w:r w:rsidR="00F93182">
        <w:t>,</w:t>
      </w:r>
      <w:r w:rsidR="00E624A2" w:rsidRPr="00E624A2">
        <w:t xml:space="preserve"> </w:t>
      </w:r>
      <w:r w:rsidR="00873CD6">
        <w:t>22</w:t>
      </w:r>
      <w:r w:rsidR="00E624A2" w:rsidRPr="00E624A2">
        <w:t>%</w:t>
      </w:r>
      <w:r w:rsidR="00873CD6">
        <w:t xml:space="preserve"> (n=132) </w:t>
      </w:r>
      <w:r w:rsidR="00E624A2" w:rsidRPr="00E624A2">
        <w:t xml:space="preserve">with </w:t>
      </w:r>
      <w:r w:rsidR="00873CD6">
        <w:t>m</w:t>
      </w:r>
      <w:r w:rsidR="00E624A2" w:rsidRPr="00E624A2">
        <w:t>oderate ID</w:t>
      </w:r>
      <w:r w:rsidR="00873CD6">
        <w:t>.</w:t>
      </w:r>
      <w:r w:rsidR="00E624A2" w:rsidRPr="00E624A2">
        <w:t xml:space="preserve"> </w:t>
      </w:r>
      <w:r w:rsidR="00873CD6" w:rsidRPr="00FE4ECD">
        <w:rPr>
          <w:bCs/>
          <w:color w:val="000000" w:themeColor="text1"/>
        </w:rPr>
        <w:t>Twenty percent</w:t>
      </w:r>
      <w:r w:rsidR="00157FA6" w:rsidRPr="00FE4ECD">
        <w:rPr>
          <w:b/>
          <w:color w:val="000000" w:themeColor="text1"/>
        </w:rPr>
        <w:t xml:space="preserve"> </w:t>
      </w:r>
      <w:r w:rsidR="00873CD6">
        <w:t>or 399 individuals had the label of</w:t>
      </w:r>
      <w:r w:rsidR="007B57F4">
        <w:t xml:space="preserve"> </w:t>
      </w:r>
      <w:r w:rsidR="00E624A2" w:rsidRPr="00E624A2">
        <w:t>autism</w:t>
      </w:r>
      <w:r w:rsidR="00873CD6">
        <w:t xml:space="preserve">; </w:t>
      </w:r>
      <w:r w:rsidR="007B57F4">
        <w:t>12% with a mental illness</w:t>
      </w:r>
      <w:r w:rsidR="00873CD6">
        <w:t>;</w:t>
      </w:r>
      <w:r w:rsidR="007B57F4">
        <w:t xml:space="preserve"> and</w:t>
      </w:r>
      <w:r w:rsidR="00873CD6">
        <w:t>,</w:t>
      </w:r>
      <w:r w:rsidR="007B57F4">
        <w:t xml:space="preserve"> </w:t>
      </w:r>
      <w:r>
        <w:t>9</w:t>
      </w:r>
      <w:r w:rsidR="007B57F4">
        <w:t xml:space="preserve">% with a </w:t>
      </w:r>
      <w:r>
        <w:t>l</w:t>
      </w:r>
      <w:r w:rsidR="007B57F4">
        <w:t xml:space="preserve">earning </w:t>
      </w:r>
      <w:r>
        <w:t>d</w:t>
      </w:r>
      <w:r w:rsidR="007B57F4">
        <w:t>isability</w:t>
      </w:r>
      <w:r w:rsidR="00ED6D81">
        <w:t>.</w:t>
      </w:r>
    </w:p>
    <w:p w14:paraId="31479485" w14:textId="763F309F" w:rsidR="00C46873" w:rsidRPr="00536237" w:rsidRDefault="00C17326" w:rsidP="00DC1B18">
      <w:pPr>
        <w:pStyle w:val="Heading3"/>
      </w:pPr>
      <w:r>
        <w:t>What Did Individuals Choose</w:t>
      </w:r>
      <w:r w:rsidR="00C46873">
        <w:t xml:space="preserve"> with ATE</w:t>
      </w:r>
      <w:r>
        <w:t>?</w:t>
      </w:r>
    </w:p>
    <w:p w14:paraId="07A377FA" w14:textId="15C12A07" w:rsidR="00C17326" w:rsidRPr="0064786C" w:rsidRDefault="00C46873" w:rsidP="00EE2F11">
      <w:pPr>
        <w:pStyle w:val="BulletList"/>
      </w:pPr>
      <w:r>
        <w:t>Sixty-eight percent (</w:t>
      </w:r>
      <w:r w:rsidR="00C17326" w:rsidRPr="0064786C">
        <w:t>6</w:t>
      </w:r>
      <w:r>
        <w:t>8</w:t>
      </w:r>
      <w:r w:rsidR="00C17326" w:rsidRPr="0064786C">
        <w:t>%</w:t>
      </w:r>
      <w:r>
        <w:t>)</w:t>
      </w:r>
      <w:r w:rsidR="00C17326" w:rsidRPr="0064786C">
        <w:t xml:space="preserve"> were </w:t>
      </w:r>
      <w:r>
        <w:t>l</w:t>
      </w:r>
      <w:r w:rsidR="00C17326" w:rsidRPr="0064786C">
        <w:t>ooking for a job</w:t>
      </w:r>
      <w:r>
        <w:t>.</w:t>
      </w:r>
    </w:p>
    <w:p w14:paraId="43665A3D" w14:textId="63C3240C" w:rsidR="00C17326" w:rsidRDefault="00C46873" w:rsidP="00EE2F11">
      <w:pPr>
        <w:pStyle w:val="BulletList"/>
      </w:pPr>
      <w:r>
        <w:t>Eleven percent (</w:t>
      </w:r>
      <w:r w:rsidR="00C17326" w:rsidRPr="0064786C">
        <w:t>1</w:t>
      </w:r>
      <w:r>
        <w:t>1</w:t>
      </w:r>
      <w:r w:rsidR="00C17326" w:rsidRPr="0064786C">
        <w:t>%</w:t>
      </w:r>
      <w:r>
        <w:t>)</w:t>
      </w:r>
      <w:r w:rsidR="00C17326" w:rsidRPr="0064786C">
        <w:t xml:space="preserve"> were engaged in </w:t>
      </w:r>
      <w:r>
        <w:t>c</w:t>
      </w:r>
      <w:r w:rsidR="00C17326" w:rsidRPr="0064786C">
        <w:t xml:space="preserve">ommunity </w:t>
      </w:r>
      <w:r>
        <w:t>a</w:t>
      </w:r>
      <w:r w:rsidR="00C17326" w:rsidRPr="0064786C">
        <w:t>ccess</w:t>
      </w:r>
      <w:r>
        <w:t>.</w:t>
      </w:r>
    </w:p>
    <w:p w14:paraId="40FEB556" w14:textId="63F96580" w:rsidR="00C17326" w:rsidRPr="00536237" w:rsidRDefault="00FB450A" w:rsidP="00EE2F11">
      <w:pPr>
        <w:pStyle w:val="BulletList"/>
      </w:pPr>
      <w:r>
        <w:t>Six percent (6%) was the individual’s choice.</w:t>
      </w:r>
    </w:p>
    <w:p w14:paraId="5E6FBA5B" w14:textId="77777777" w:rsidR="00C17326" w:rsidRPr="002802B9" w:rsidRDefault="00C17326" w:rsidP="00DC1B18">
      <w:pPr>
        <w:pStyle w:val="Heading3"/>
      </w:pPr>
      <w:r w:rsidRPr="002802B9">
        <w:t>Transportation</w:t>
      </w:r>
    </w:p>
    <w:p w14:paraId="3A23F22B" w14:textId="669819F6" w:rsidR="00CD25FF" w:rsidRPr="002802B9" w:rsidRDefault="00CD25FF" w:rsidP="003E5CED">
      <w:pPr>
        <w:rPr>
          <w:b/>
        </w:rPr>
      </w:pPr>
      <w:r>
        <w:rPr>
          <w:rFonts w:cs="Calibri"/>
          <w:color w:val="000000"/>
        </w:rPr>
        <w:t>The majority of individuals (6</w:t>
      </w:r>
      <w:r w:rsidR="00342637">
        <w:rPr>
          <w:rFonts w:cs="Calibri"/>
          <w:color w:val="000000"/>
        </w:rPr>
        <w:t>6</w:t>
      </w:r>
      <w:r>
        <w:rPr>
          <w:rFonts w:cs="Calibri"/>
          <w:color w:val="000000"/>
        </w:rPr>
        <w:t>%) relied on their families</w:t>
      </w:r>
      <w:r w:rsidR="00342637">
        <w:rPr>
          <w:rFonts w:cs="Calibri"/>
          <w:color w:val="000000"/>
        </w:rPr>
        <w:t xml:space="preserve"> and </w:t>
      </w:r>
      <w:r>
        <w:rPr>
          <w:rFonts w:cs="Calibri"/>
          <w:color w:val="000000"/>
        </w:rPr>
        <w:t>friends</w:t>
      </w:r>
      <w:r w:rsidR="00342637">
        <w:rPr>
          <w:rFonts w:cs="Calibri"/>
          <w:color w:val="000000"/>
        </w:rPr>
        <w:t xml:space="preserve"> </w:t>
      </w:r>
      <w:r>
        <w:rPr>
          <w:rFonts w:cs="Calibri"/>
          <w:color w:val="000000"/>
        </w:rPr>
        <w:t xml:space="preserve">to provide transportation; while </w:t>
      </w:r>
      <w:r w:rsidR="00342637">
        <w:rPr>
          <w:rFonts w:cs="Calibri"/>
          <w:color w:val="000000"/>
        </w:rPr>
        <w:t>27</w:t>
      </w:r>
      <w:r>
        <w:rPr>
          <w:rFonts w:cs="Calibri"/>
          <w:color w:val="000000"/>
        </w:rPr>
        <w:t>% utilized public transportation including rural transit</w:t>
      </w:r>
      <w:r w:rsidR="00342637">
        <w:rPr>
          <w:rFonts w:cs="Calibri"/>
          <w:color w:val="000000"/>
        </w:rPr>
        <w:t>. Seventeen percent relied on their residential program</w:t>
      </w:r>
      <w:r w:rsidR="00F93182">
        <w:rPr>
          <w:rFonts w:cs="Calibri"/>
          <w:color w:val="000000"/>
        </w:rPr>
        <w:t>,</w:t>
      </w:r>
      <w:r w:rsidR="00342637">
        <w:rPr>
          <w:rFonts w:cs="Calibri"/>
          <w:color w:val="000000"/>
        </w:rPr>
        <w:t xml:space="preserve"> and 22% either walked, drove, or used a bike.</w:t>
      </w:r>
    </w:p>
    <w:p w14:paraId="089C4A64" w14:textId="0F34CDF5" w:rsidR="003E5CED" w:rsidRPr="00DC1B18" w:rsidRDefault="00536237" w:rsidP="00DC1B18">
      <w:pPr>
        <w:pStyle w:val="Heading1"/>
      </w:pPr>
      <w:bookmarkStart w:id="19" w:name="_Toc39135712"/>
      <w:r w:rsidRPr="00DC1B18">
        <w:lastRenderedPageBreak/>
        <w:t>Statewide Demographics</w:t>
      </w:r>
      <w:bookmarkEnd w:id="19"/>
    </w:p>
    <w:p w14:paraId="7DD13B56" w14:textId="114AC569" w:rsidR="00C20EE6" w:rsidRPr="000561D6" w:rsidRDefault="00C20EE6" w:rsidP="00EE2F11">
      <w:r w:rsidRPr="000561D6">
        <w:t>The statewide demographics include</w:t>
      </w:r>
      <w:r w:rsidR="000561D6">
        <w:t>d</w:t>
      </w:r>
      <w:r w:rsidRPr="000561D6">
        <w:t>:</w:t>
      </w:r>
    </w:p>
    <w:p w14:paraId="37ADB549" w14:textId="66A98957" w:rsidR="007251F4" w:rsidRDefault="00C20EE6" w:rsidP="00EE2F11">
      <w:pPr>
        <w:pStyle w:val="BulletList"/>
      </w:pPr>
      <w:r w:rsidRPr="009A7D93">
        <w:rPr>
          <w:b/>
          <w:bCs/>
        </w:rPr>
        <w:t>Gender</w:t>
      </w:r>
      <w:r w:rsidRPr="00C20EE6">
        <w:t>:</w:t>
      </w:r>
      <w:r w:rsidR="006644E4">
        <w:t xml:space="preserve"> M</w:t>
      </w:r>
      <w:r w:rsidR="007251F4" w:rsidRPr="00C20EE6">
        <w:t xml:space="preserve">ale (59%) </w:t>
      </w:r>
      <w:r w:rsidR="006644E4">
        <w:t>and f</w:t>
      </w:r>
      <w:r w:rsidR="007251F4" w:rsidRPr="00C20EE6">
        <w:t>emale (41%)</w:t>
      </w:r>
      <w:r w:rsidR="006644E4">
        <w:t>.</w:t>
      </w:r>
    </w:p>
    <w:p w14:paraId="66F71666" w14:textId="15344BE7" w:rsidR="00B84061" w:rsidRDefault="00B15A93" w:rsidP="00EE2F11">
      <w:pPr>
        <w:pStyle w:val="BulletList"/>
      </w:pPr>
      <w:r w:rsidRPr="009A7D93">
        <w:rPr>
          <w:b/>
          <w:bCs/>
        </w:rPr>
        <w:t>Race</w:t>
      </w:r>
      <w:r w:rsidRPr="00257BF1">
        <w:t>: White (8</w:t>
      </w:r>
      <w:r w:rsidR="00C81FF9" w:rsidRPr="00257BF1">
        <w:t>5</w:t>
      </w:r>
      <w:r w:rsidRPr="00257BF1">
        <w:t>%)</w:t>
      </w:r>
      <w:r w:rsidR="00F93182">
        <w:t>,</w:t>
      </w:r>
      <w:r w:rsidRPr="00257BF1">
        <w:t xml:space="preserve"> Black or African American (1</w:t>
      </w:r>
      <w:r w:rsidR="00C81FF9" w:rsidRPr="00257BF1">
        <w:t>1</w:t>
      </w:r>
      <w:r w:rsidRPr="00257BF1">
        <w:t>%)</w:t>
      </w:r>
      <w:r w:rsidR="00F93182">
        <w:t>,</w:t>
      </w:r>
      <w:r w:rsidRPr="00257BF1">
        <w:t xml:space="preserve"> </w:t>
      </w:r>
      <w:r w:rsidR="006644E4">
        <w:t xml:space="preserve">and </w:t>
      </w:r>
      <w:r w:rsidRPr="00257BF1">
        <w:t>Hispanic (2%)</w:t>
      </w:r>
      <w:r w:rsidR="009A7D93">
        <w:t>.</w:t>
      </w:r>
    </w:p>
    <w:p w14:paraId="4FFBF3F8" w14:textId="3D997CE5" w:rsidR="001B3365" w:rsidRDefault="00C20EE6" w:rsidP="00EE2F11">
      <w:pPr>
        <w:pStyle w:val="BulletList"/>
      </w:pPr>
      <w:r w:rsidRPr="009A7D93">
        <w:rPr>
          <w:b/>
          <w:bCs/>
        </w:rPr>
        <w:t>Secondary disabilities</w:t>
      </w:r>
      <w:r>
        <w:t xml:space="preserve">: </w:t>
      </w:r>
      <w:r w:rsidRPr="00C20EE6">
        <w:t>Seventy-two percent (72</w:t>
      </w:r>
      <w:r w:rsidR="001B3365" w:rsidRPr="00C20EE6">
        <w:t>%</w:t>
      </w:r>
      <w:r w:rsidRPr="00C20EE6">
        <w:t>) or 7,515</w:t>
      </w:r>
      <w:r w:rsidR="00CD5CEE" w:rsidRPr="00C20EE6">
        <w:t xml:space="preserve"> o</w:t>
      </w:r>
      <w:r w:rsidR="00F32605" w:rsidRPr="00C20EE6">
        <w:t xml:space="preserve">f all individuals </w:t>
      </w:r>
      <w:r w:rsidR="001B3365" w:rsidRPr="00C20EE6">
        <w:t xml:space="preserve">had a </w:t>
      </w:r>
      <w:r>
        <w:t>s</w:t>
      </w:r>
      <w:r w:rsidR="001B3365" w:rsidRPr="00C20EE6">
        <w:t xml:space="preserve">econdary </w:t>
      </w:r>
      <w:r>
        <w:t>d</w:t>
      </w:r>
      <w:r w:rsidR="001B3365" w:rsidRPr="00C20EE6">
        <w:t>isability</w:t>
      </w:r>
      <w:r w:rsidR="00CD5CEE" w:rsidRPr="00C20EE6">
        <w:t xml:space="preserve"> with</w:t>
      </w:r>
      <w:r w:rsidR="001D3F48">
        <w:t xml:space="preserve"> 27%</w:t>
      </w:r>
      <w:r w:rsidR="00CD5CEE" w:rsidRPr="00C20EE6">
        <w:t xml:space="preserve"> </w:t>
      </w:r>
      <w:r w:rsidR="001D3F48">
        <w:t>identified as Other Health Impairment</w:t>
      </w:r>
      <w:r w:rsidR="00F93182">
        <w:t xml:space="preserve"> (OHI)</w:t>
      </w:r>
      <w:r w:rsidR="001D3F48">
        <w:t xml:space="preserve"> and 17</w:t>
      </w:r>
      <w:r w:rsidR="00CD5CEE" w:rsidRPr="00C20EE6">
        <w:t>% identified with a Mental Illness</w:t>
      </w:r>
      <w:r w:rsidR="001D3F48">
        <w:t>.</w:t>
      </w:r>
    </w:p>
    <w:p w14:paraId="1FCE9575" w14:textId="00979121" w:rsidR="00B84061" w:rsidRDefault="009A7D93" w:rsidP="00EE2F11">
      <w:pPr>
        <w:pStyle w:val="BulletList"/>
      </w:pPr>
      <w:r w:rsidRPr="009A7D93">
        <w:rPr>
          <w:b/>
          <w:bCs/>
        </w:rPr>
        <w:t>Mobility</w:t>
      </w:r>
      <w:r>
        <w:t xml:space="preserve">: </w:t>
      </w:r>
      <w:r w:rsidR="00DE12CC">
        <w:t>Eight</w:t>
      </w:r>
      <w:r w:rsidR="00502892">
        <w:t>y</w:t>
      </w:r>
      <w:r w:rsidR="00DE12CC">
        <w:t>-five percent (</w:t>
      </w:r>
      <w:r w:rsidR="00B84061" w:rsidRPr="00257BF1">
        <w:t>8</w:t>
      </w:r>
      <w:r w:rsidR="001D3F48">
        <w:t>5</w:t>
      </w:r>
      <w:r w:rsidR="00B84061" w:rsidRPr="00257BF1">
        <w:t>%</w:t>
      </w:r>
      <w:r w:rsidR="00DE12CC">
        <w:t xml:space="preserve">) of </w:t>
      </w:r>
      <w:r w:rsidR="00502892">
        <w:t xml:space="preserve">all </w:t>
      </w:r>
      <w:r w:rsidR="00DE12CC">
        <w:t xml:space="preserve">the individuals were </w:t>
      </w:r>
      <w:r w:rsidR="00B84061" w:rsidRPr="00257BF1">
        <w:t>ambulatory</w:t>
      </w:r>
      <w:r w:rsidR="00DE12CC">
        <w:t>;</w:t>
      </w:r>
      <w:r w:rsidR="00B84061" w:rsidRPr="00257BF1">
        <w:t xml:space="preserve"> and </w:t>
      </w:r>
      <w:r w:rsidR="001D3F48">
        <w:t>7</w:t>
      </w:r>
      <w:r w:rsidR="00B84061" w:rsidRPr="00257BF1">
        <w:t>% use a wheelchair</w:t>
      </w:r>
      <w:r w:rsidR="00DE12CC">
        <w:t>.</w:t>
      </w:r>
    </w:p>
    <w:p w14:paraId="198EB1AA" w14:textId="34A9F7D4" w:rsidR="004057B2" w:rsidRDefault="009A7D93" w:rsidP="00EE2F11">
      <w:pPr>
        <w:pStyle w:val="BulletList"/>
      </w:pPr>
      <w:r w:rsidRPr="009A7D93">
        <w:rPr>
          <w:b/>
          <w:bCs/>
        </w:rPr>
        <w:t>Communication</w:t>
      </w:r>
      <w:r>
        <w:t xml:space="preserve">: </w:t>
      </w:r>
      <w:r w:rsidR="00502892">
        <w:t>Seventy-seven percent (</w:t>
      </w:r>
      <w:r w:rsidR="004057B2" w:rsidRPr="00257BF1">
        <w:t>7</w:t>
      </w:r>
      <w:r w:rsidR="001D3F48">
        <w:t>7</w:t>
      </w:r>
      <w:r w:rsidR="004057B2" w:rsidRPr="00257BF1">
        <w:t>%</w:t>
      </w:r>
      <w:r w:rsidR="00502892">
        <w:t>) of all the individuals</w:t>
      </w:r>
      <w:r w:rsidR="004057B2" w:rsidRPr="00257BF1">
        <w:t xml:space="preserve"> communicate through verbal means; 14% had limited verbal skills</w:t>
      </w:r>
      <w:r w:rsidR="006644E4">
        <w:t>.</w:t>
      </w:r>
    </w:p>
    <w:p w14:paraId="44277CFF" w14:textId="07552428" w:rsidR="00B84061" w:rsidRPr="00502892" w:rsidRDefault="009A7D93" w:rsidP="00EE2F11">
      <w:pPr>
        <w:pStyle w:val="BulletList"/>
      </w:pPr>
      <w:r w:rsidRPr="009A7D93">
        <w:rPr>
          <w:b/>
          <w:bCs/>
        </w:rPr>
        <w:t>Behavioral issues</w:t>
      </w:r>
      <w:r>
        <w:t xml:space="preserve">: </w:t>
      </w:r>
      <w:r w:rsidR="00B84061" w:rsidRPr="00257BF1">
        <w:t xml:space="preserve">Behavioral </w:t>
      </w:r>
      <w:r w:rsidR="00152941" w:rsidRPr="00257BF1">
        <w:t>i</w:t>
      </w:r>
      <w:r w:rsidR="00B84061" w:rsidRPr="00257BF1">
        <w:t>ssues that impact their everyday life</w:t>
      </w:r>
      <w:r w:rsidR="001B3365" w:rsidRPr="00257BF1">
        <w:t xml:space="preserve"> </w:t>
      </w:r>
      <w:r w:rsidR="00502892">
        <w:t xml:space="preserve">showed thirty-seven percent (37%) were in the mild range; </w:t>
      </w:r>
      <w:r w:rsidR="001D3F48" w:rsidRPr="00502892">
        <w:t>20</w:t>
      </w:r>
      <w:r w:rsidR="00B84061" w:rsidRPr="00502892">
        <w:t>% are moderate</w:t>
      </w:r>
      <w:r w:rsidR="00502892">
        <w:t xml:space="preserve"> range;</w:t>
      </w:r>
      <w:r w:rsidR="00B84061" w:rsidRPr="00502892">
        <w:t xml:space="preserve"> and </w:t>
      </w:r>
      <w:r w:rsidR="001D3F48" w:rsidRPr="00502892">
        <w:t>39</w:t>
      </w:r>
      <w:r w:rsidR="00B84061" w:rsidRPr="00502892">
        <w:t xml:space="preserve">% </w:t>
      </w:r>
      <w:r w:rsidR="001D3F48" w:rsidRPr="00502892">
        <w:t>did not have identified behavioral issues</w:t>
      </w:r>
      <w:r w:rsidR="006644E4">
        <w:t>.</w:t>
      </w:r>
    </w:p>
    <w:p w14:paraId="3455F990" w14:textId="21E1C373" w:rsidR="00502892" w:rsidRDefault="009A7D93" w:rsidP="00EE2F11">
      <w:pPr>
        <w:pStyle w:val="BulletList"/>
      </w:pPr>
      <w:r w:rsidRPr="009A7D93">
        <w:rPr>
          <w:b/>
          <w:bCs/>
        </w:rPr>
        <w:t>Support needs</w:t>
      </w:r>
      <w:r>
        <w:t xml:space="preserve">: </w:t>
      </w:r>
      <w:r w:rsidR="00B84061" w:rsidRPr="00257BF1">
        <w:t xml:space="preserve">Level of </w:t>
      </w:r>
      <w:r w:rsidR="00502892">
        <w:t>s</w:t>
      </w:r>
      <w:r w:rsidR="00B84061" w:rsidRPr="00257BF1">
        <w:t>upport</w:t>
      </w:r>
      <w:r w:rsidR="003A0534" w:rsidRPr="00257BF1">
        <w:t xml:space="preserve"> and </w:t>
      </w:r>
      <w:r w:rsidR="00502892">
        <w:t>s</w:t>
      </w:r>
      <w:r w:rsidR="003A0534" w:rsidRPr="00257BF1">
        <w:t>upervision</w:t>
      </w:r>
      <w:r w:rsidR="001B3365" w:rsidRPr="00257BF1">
        <w:t xml:space="preserve"> </w:t>
      </w:r>
      <w:r w:rsidR="00502892">
        <w:t xml:space="preserve">needed included </w:t>
      </w:r>
      <w:r w:rsidR="003A0534" w:rsidRPr="00502892">
        <w:t>3</w:t>
      </w:r>
      <w:r w:rsidR="001D3F48" w:rsidRPr="00502892">
        <w:t>6</w:t>
      </w:r>
      <w:r w:rsidR="003A0534" w:rsidRPr="00502892">
        <w:t xml:space="preserve">% </w:t>
      </w:r>
      <w:r w:rsidR="004B6EFE" w:rsidRPr="00502892">
        <w:t xml:space="preserve">of the individuals </w:t>
      </w:r>
      <w:r w:rsidR="003A0534" w:rsidRPr="00502892">
        <w:t>d</w:t>
      </w:r>
      <w:r w:rsidR="00152941" w:rsidRPr="00502892">
        <w:t>id</w:t>
      </w:r>
      <w:r w:rsidR="003A0534" w:rsidRPr="00502892">
        <w:t xml:space="preserve"> not need any level of support; </w:t>
      </w:r>
      <w:r w:rsidR="00D73E4B" w:rsidRPr="00502892">
        <w:t>2</w:t>
      </w:r>
      <w:r w:rsidR="001D3F48" w:rsidRPr="00502892">
        <w:t>7</w:t>
      </w:r>
      <w:r w:rsidR="00D73E4B" w:rsidRPr="00502892">
        <w:t xml:space="preserve">% occasional; </w:t>
      </w:r>
      <w:r w:rsidR="00B84061" w:rsidRPr="00502892">
        <w:t>1</w:t>
      </w:r>
      <w:r w:rsidR="001D3F48" w:rsidRPr="00502892">
        <w:t>6</w:t>
      </w:r>
      <w:r w:rsidR="00B84061" w:rsidRPr="00502892">
        <w:t>% need intermittent</w:t>
      </w:r>
      <w:r w:rsidR="00D73E4B" w:rsidRPr="00502892">
        <w:t>; 21% need continuous support</w:t>
      </w:r>
      <w:r w:rsidR="006644E4">
        <w:t>.</w:t>
      </w:r>
    </w:p>
    <w:p w14:paraId="6039DECA" w14:textId="3754974B" w:rsidR="004057B2" w:rsidRPr="00502892" w:rsidRDefault="009A7D93" w:rsidP="00EE2F11">
      <w:pPr>
        <w:pStyle w:val="BulletList"/>
      </w:pPr>
      <w:r w:rsidRPr="009A7D93">
        <w:rPr>
          <w:b/>
          <w:bCs/>
        </w:rPr>
        <w:t>Personal Assistance Care</w:t>
      </w:r>
      <w:r>
        <w:t xml:space="preserve">: </w:t>
      </w:r>
      <w:r w:rsidR="00502892" w:rsidRPr="00502892">
        <w:t>Approximately sixty-two percent</w:t>
      </w:r>
      <w:r w:rsidR="006644E4">
        <w:t xml:space="preserve"> </w:t>
      </w:r>
      <w:r w:rsidR="00502892" w:rsidRPr="00502892">
        <w:t>(</w:t>
      </w:r>
      <w:r w:rsidR="004057B2" w:rsidRPr="00502892">
        <w:t>6</w:t>
      </w:r>
      <w:r w:rsidR="001D3F48" w:rsidRPr="00502892">
        <w:t>2</w:t>
      </w:r>
      <w:r w:rsidR="004057B2" w:rsidRPr="00502892">
        <w:t>%</w:t>
      </w:r>
      <w:r w:rsidR="00502892" w:rsidRPr="00502892">
        <w:t>)</w:t>
      </w:r>
      <w:r w:rsidR="004057B2" w:rsidRPr="00502892">
        <w:t xml:space="preserve"> did not need any level of Personal Assistance Care</w:t>
      </w:r>
      <w:r w:rsidR="00502892" w:rsidRPr="00502892">
        <w:t xml:space="preserve"> (PAC)</w:t>
      </w:r>
      <w:r w:rsidR="006644E4">
        <w:t>.</w:t>
      </w:r>
    </w:p>
    <w:p w14:paraId="43E4ADF5" w14:textId="3F859A2C" w:rsidR="006C6285" w:rsidRPr="00EE2F11" w:rsidRDefault="00536237" w:rsidP="00F42B14">
      <w:pPr>
        <w:pStyle w:val="Heading1"/>
      </w:pPr>
      <w:bookmarkStart w:id="20" w:name="_Toc39135713"/>
      <w:r w:rsidRPr="00EE2F11">
        <w:lastRenderedPageBreak/>
        <w:t>Program Participants</w:t>
      </w:r>
      <w:bookmarkEnd w:id="20"/>
    </w:p>
    <w:tbl>
      <w:tblPr>
        <w:tblW w:w="9520" w:type="dxa"/>
        <w:tblInd w:w="-38" w:type="dxa"/>
        <w:tblLayout w:type="fixed"/>
        <w:tblCellMar>
          <w:top w:w="58" w:type="dxa"/>
          <w:left w:w="30" w:type="dxa"/>
          <w:bottom w:w="58" w:type="dxa"/>
          <w:right w:w="30" w:type="dxa"/>
        </w:tblCellMar>
        <w:tblLook w:val="0020" w:firstRow="1" w:lastRow="0" w:firstColumn="0" w:lastColumn="0" w:noHBand="0" w:noVBand="0"/>
      </w:tblPr>
      <w:tblGrid>
        <w:gridCol w:w="8130"/>
        <w:gridCol w:w="1390"/>
      </w:tblGrid>
      <w:tr w:rsidR="006C6285" w:rsidRPr="001E7E3E" w14:paraId="5EAEFC35" w14:textId="77777777" w:rsidTr="001E7E3E">
        <w:trPr>
          <w:trHeight w:val="20"/>
          <w:tblHeader/>
        </w:trPr>
        <w:tc>
          <w:tcPr>
            <w:tcW w:w="8130" w:type="dxa"/>
            <w:tcBorders>
              <w:top w:val="single" w:sz="6" w:space="0" w:color="auto"/>
              <w:left w:val="single" w:sz="6" w:space="0" w:color="auto"/>
              <w:bottom w:val="single" w:sz="6" w:space="0" w:color="auto"/>
              <w:right w:val="single" w:sz="6" w:space="0" w:color="auto"/>
            </w:tcBorders>
            <w:vAlign w:val="center"/>
          </w:tcPr>
          <w:p w14:paraId="2F103AAB" w14:textId="04D346F3" w:rsidR="006C6285" w:rsidRPr="001E7E3E" w:rsidRDefault="006C6285" w:rsidP="001E7E3E">
            <w:pPr>
              <w:pStyle w:val="NoSpacing"/>
              <w:rPr>
                <w:rFonts w:eastAsiaTheme="minorHAnsi"/>
                <w:b/>
                <w:sz w:val="24"/>
              </w:rPr>
            </w:pPr>
            <w:r w:rsidRPr="001E7E3E">
              <w:rPr>
                <w:rFonts w:eastAsiaTheme="minorHAnsi"/>
                <w:b/>
                <w:sz w:val="24"/>
              </w:rPr>
              <w:t>Program Name</w:t>
            </w:r>
          </w:p>
        </w:tc>
        <w:tc>
          <w:tcPr>
            <w:tcW w:w="1390" w:type="dxa"/>
            <w:tcBorders>
              <w:top w:val="single" w:sz="6" w:space="0" w:color="auto"/>
              <w:left w:val="single" w:sz="6" w:space="0" w:color="auto"/>
              <w:bottom w:val="single" w:sz="6" w:space="0" w:color="auto"/>
              <w:right w:val="single" w:sz="6" w:space="0" w:color="auto"/>
            </w:tcBorders>
            <w:vAlign w:val="center"/>
          </w:tcPr>
          <w:p w14:paraId="1CA77137" w14:textId="2F563909" w:rsidR="006C6285" w:rsidRPr="001E7E3E" w:rsidRDefault="006C6285" w:rsidP="001E7E3E">
            <w:pPr>
              <w:pStyle w:val="NoSpacing"/>
              <w:rPr>
                <w:rFonts w:eastAsiaTheme="minorHAnsi"/>
                <w:b/>
                <w:sz w:val="24"/>
              </w:rPr>
            </w:pPr>
            <w:r w:rsidRPr="001E7E3E">
              <w:rPr>
                <w:rFonts w:eastAsiaTheme="minorHAnsi"/>
                <w:b/>
                <w:sz w:val="24"/>
              </w:rPr>
              <w:t>No. Individuals</w:t>
            </w:r>
          </w:p>
        </w:tc>
      </w:tr>
      <w:tr w:rsidR="006C6285" w:rsidRPr="001E7E3E" w14:paraId="39E135E1"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A0E640D" w14:textId="77777777" w:rsidR="006C6285" w:rsidRPr="001E7E3E" w:rsidRDefault="006C6285" w:rsidP="001E7E3E">
            <w:pPr>
              <w:pStyle w:val="NoSpacing"/>
              <w:rPr>
                <w:rFonts w:eastAsiaTheme="minorHAnsi"/>
                <w:sz w:val="24"/>
              </w:rPr>
            </w:pPr>
            <w:r w:rsidRPr="001E7E3E">
              <w:rPr>
                <w:rFonts w:eastAsiaTheme="minorHAnsi"/>
                <w:sz w:val="24"/>
              </w:rPr>
              <w:t>ABILITIES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15214F05" w14:textId="6120557A" w:rsidR="006C6285" w:rsidRPr="001E7E3E" w:rsidRDefault="003C69AD" w:rsidP="001E7E3E">
            <w:pPr>
              <w:pStyle w:val="NoSpacing"/>
              <w:rPr>
                <w:rFonts w:eastAsiaTheme="minorHAnsi"/>
                <w:sz w:val="24"/>
              </w:rPr>
            </w:pPr>
            <w:r w:rsidRPr="001E7E3E">
              <w:rPr>
                <w:rFonts w:eastAsiaTheme="minorHAnsi"/>
                <w:sz w:val="24"/>
              </w:rPr>
              <w:t>0</w:t>
            </w:r>
          </w:p>
        </w:tc>
      </w:tr>
      <w:tr w:rsidR="006C6285" w:rsidRPr="001E7E3E" w14:paraId="1F4FBD3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0FDCC205" w14:textId="77777777" w:rsidR="006C6285" w:rsidRPr="001E7E3E" w:rsidRDefault="006C6285" w:rsidP="001E7E3E">
            <w:pPr>
              <w:pStyle w:val="NoSpacing"/>
              <w:rPr>
                <w:rFonts w:eastAsiaTheme="minorHAnsi"/>
                <w:sz w:val="24"/>
              </w:rPr>
            </w:pPr>
            <w:r w:rsidRPr="001E7E3E">
              <w:rPr>
                <w:rFonts w:eastAsiaTheme="minorHAnsi"/>
                <w:sz w:val="24"/>
              </w:rPr>
              <w:t>ACCESSABILITIES, INC.</w:t>
            </w:r>
          </w:p>
        </w:tc>
        <w:tc>
          <w:tcPr>
            <w:tcW w:w="1390" w:type="dxa"/>
            <w:tcBorders>
              <w:top w:val="single" w:sz="6" w:space="0" w:color="auto"/>
              <w:left w:val="single" w:sz="6" w:space="0" w:color="auto"/>
              <w:bottom w:val="single" w:sz="6" w:space="0" w:color="auto"/>
              <w:right w:val="single" w:sz="6" w:space="0" w:color="auto"/>
            </w:tcBorders>
            <w:vAlign w:val="center"/>
          </w:tcPr>
          <w:p w14:paraId="230C0605" w14:textId="5B25D9DC" w:rsidR="006C6285" w:rsidRPr="001E7E3E" w:rsidRDefault="003C69AD" w:rsidP="001E7E3E">
            <w:pPr>
              <w:pStyle w:val="NoSpacing"/>
              <w:rPr>
                <w:rFonts w:eastAsiaTheme="minorHAnsi"/>
                <w:sz w:val="24"/>
              </w:rPr>
            </w:pPr>
            <w:r w:rsidRPr="001E7E3E">
              <w:rPr>
                <w:rFonts w:eastAsiaTheme="minorHAnsi"/>
                <w:sz w:val="24"/>
              </w:rPr>
              <w:t>42</w:t>
            </w:r>
          </w:p>
        </w:tc>
      </w:tr>
      <w:tr w:rsidR="006C6285" w:rsidRPr="001E7E3E" w14:paraId="52D9B22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975F690" w14:textId="77777777" w:rsidR="006C6285" w:rsidRPr="001E7E3E" w:rsidRDefault="006C6285" w:rsidP="001E7E3E">
            <w:pPr>
              <w:pStyle w:val="NoSpacing"/>
              <w:rPr>
                <w:rFonts w:eastAsiaTheme="minorHAnsi"/>
                <w:sz w:val="24"/>
              </w:rPr>
            </w:pPr>
            <w:r w:rsidRPr="001E7E3E">
              <w:rPr>
                <w:rFonts w:eastAsiaTheme="minorHAnsi"/>
                <w:sz w:val="24"/>
              </w:rPr>
              <w:t>ADEC, INC.</w:t>
            </w:r>
          </w:p>
        </w:tc>
        <w:tc>
          <w:tcPr>
            <w:tcW w:w="1390" w:type="dxa"/>
            <w:tcBorders>
              <w:top w:val="single" w:sz="6" w:space="0" w:color="auto"/>
              <w:left w:val="single" w:sz="6" w:space="0" w:color="auto"/>
              <w:bottom w:val="single" w:sz="6" w:space="0" w:color="auto"/>
              <w:right w:val="single" w:sz="6" w:space="0" w:color="auto"/>
            </w:tcBorders>
            <w:vAlign w:val="center"/>
          </w:tcPr>
          <w:p w14:paraId="7D80D78A" w14:textId="44B1E8F3" w:rsidR="006C6285" w:rsidRPr="001E7E3E" w:rsidRDefault="003C69AD" w:rsidP="001E7E3E">
            <w:pPr>
              <w:pStyle w:val="NoSpacing"/>
              <w:rPr>
                <w:rFonts w:eastAsiaTheme="minorHAnsi"/>
                <w:sz w:val="24"/>
              </w:rPr>
            </w:pPr>
            <w:r w:rsidRPr="001E7E3E">
              <w:rPr>
                <w:rFonts w:eastAsiaTheme="minorHAnsi"/>
                <w:sz w:val="24"/>
              </w:rPr>
              <w:t>503</w:t>
            </w:r>
          </w:p>
        </w:tc>
      </w:tr>
      <w:tr w:rsidR="006C6285" w:rsidRPr="001E7E3E" w14:paraId="750B5F67"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04958208" w14:textId="4946A3DC" w:rsidR="006C6285" w:rsidRPr="001E7E3E" w:rsidRDefault="006C6285" w:rsidP="001E7E3E">
            <w:pPr>
              <w:pStyle w:val="NoSpacing"/>
              <w:rPr>
                <w:rFonts w:eastAsiaTheme="minorHAnsi"/>
                <w:sz w:val="24"/>
              </w:rPr>
            </w:pPr>
            <w:r w:rsidRPr="001E7E3E">
              <w:rPr>
                <w:rFonts w:eastAsiaTheme="minorHAnsi"/>
                <w:sz w:val="24"/>
              </w:rPr>
              <w:t>ADULT AND CHILD MENTAL HEALTH CEN</w:t>
            </w:r>
            <w:r w:rsidR="00ED6D81" w:rsidRPr="001E7E3E">
              <w:rPr>
                <w:rFonts w:eastAsiaTheme="minorHAnsi"/>
                <w:sz w:val="24"/>
              </w:rPr>
              <w:t>T</w:t>
            </w:r>
            <w:r w:rsidRPr="001E7E3E">
              <w:rPr>
                <w:rFonts w:eastAsiaTheme="minorHAnsi"/>
                <w:sz w:val="24"/>
              </w:rPr>
              <w:t>ER, INC.</w:t>
            </w:r>
          </w:p>
        </w:tc>
        <w:tc>
          <w:tcPr>
            <w:tcW w:w="1390" w:type="dxa"/>
            <w:tcBorders>
              <w:top w:val="single" w:sz="6" w:space="0" w:color="auto"/>
              <w:left w:val="single" w:sz="6" w:space="0" w:color="auto"/>
              <w:bottom w:val="single" w:sz="6" w:space="0" w:color="auto"/>
              <w:right w:val="single" w:sz="6" w:space="0" w:color="auto"/>
            </w:tcBorders>
            <w:vAlign w:val="center"/>
          </w:tcPr>
          <w:p w14:paraId="76AA0EEC" w14:textId="5804D58C" w:rsidR="006C6285" w:rsidRPr="001E7E3E" w:rsidRDefault="003C69AD" w:rsidP="001E7E3E">
            <w:pPr>
              <w:pStyle w:val="NoSpacing"/>
              <w:rPr>
                <w:rFonts w:eastAsiaTheme="minorHAnsi"/>
                <w:sz w:val="24"/>
              </w:rPr>
            </w:pPr>
            <w:r w:rsidRPr="001E7E3E">
              <w:rPr>
                <w:rFonts w:eastAsiaTheme="minorHAnsi"/>
                <w:sz w:val="24"/>
              </w:rPr>
              <w:t>27</w:t>
            </w:r>
          </w:p>
        </w:tc>
      </w:tr>
      <w:tr w:rsidR="006C6285" w:rsidRPr="001E7E3E" w14:paraId="4765717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057F35E" w14:textId="77777777" w:rsidR="006C6285" w:rsidRPr="001E7E3E" w:rsidRDefault="006C6285" w:rsidP="001E7E3E">
            <w:pPr>
              <w:pStyle w:val="NoSpacing"/>
              <w:rPr>
                <w:rFonts w:eastAsiaTheme="minorHAnsi"/>
                <w:sz w:val="24"/>
              </w:rPr>
            </w:pPr>
            <w:r w:rsidRPr="001E7E3E">
              <w:rPr>
                <w:rFonts w:eastAsiaTheme="minorHAnsi"/>
                <w:sz w:val="24"/>
              </w:rPr>
              <w:t>APEX BEHAVIORAL SERVICES</w:t>
            </w:r>
          </w:p>
        </w:tc>
        <w:tc>
          <w:tcPr>
            <w:tcW w:w="1390" w:type="dxa"/>
            <w:tcBorders>
              <w:top w:val="single" w:sz="6" w:space="0" w:color="auto"/>
              <w:left w:val="single" w:sz="6" w:space="0" w:color="auto"/>
              <w:bottom w:val="single" w:sz="6" w:space="0" w:color="auto"/>
              <w:right w:val="single" w:sz="6" w:space="0" w:color="auto"/>
            </w:tcBorders>
            <w:vAlign w:val="center"/>
          </w:tcPr>
          <w:p w14:paraId="59204E37" w14:textId="49B7459B" w:rsidR="006C6285" w:rsidRPr="001E7E3E" w:rsidRDefault="008076A4" w:rsidP="001E7E3E">
            <w:pPr>
              <w:pStyle w:val="NoSpacing"/>
              <w:rPr>
                <w:rFonts w:eastAsiaTheme="minorHAnsi"/>
                <w:sz w:val="24"/>
              </w:rPr>
            </w:pPr>
            <w:r w:rsidRPr="001E7E3E">
              <w:rPr>
                <w:rFonts w:eastAsiaTheme="minorHAnsi"/>
                <w:sz w:val="24"/>
              </w:rPr>
              <w:t>52</w:t>
            </w:r>
          </w:p>
        </w:tc>
      </w:tr>
      <w:tr w:rsidR="006C6285" w:rsidRPr="001E7E3E" w14:paraId="76A5CAA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9BFBCA0" w14:textId="77777777" w:rsidR="006C6285" w:rsidRPr="001E7E3E" w:rsidRDefault="006C6285" w:rsidP="001E7E3E">
            <w:pPr>
              <w:pStyle w:val="NoSpacing"/>
              <w:rPr>
                <w:rFonts w:eastAsiaTheme="minorHAnsi"/>
                <w:sz w:val="24"/>
              </w:rPr>
            </w:pPr>
            <w:r w:rsidRPr="001E7E3E">
              <w:rPr>
                <w:rFonts w:eastAsiaTheme="minorHAnsi"/>
                <w:sz w:val="24"/>
              </w:rPr>
              <w:t>ARC OF GREATER BOONE COUNTY</w:t>
            </w:r>
          </w:p>
        </w:tc>
        <w:tc>
          <w:tcPr>
            <w:tcW w:w="1390" w:type="dxa"/>
            <w:tcBorders>
              <w:top w:val="single" w:sz="6" w:space="0" w:color="auto"/>
              <w:left w:val="single" w:sz="6" w:space="0" w:color="auto"/>
              <w:bottom w:val="single" w:sz="6" w:space="0" w:color="auto"/>
              <w:right w:val="single" w:sz="6" w:space="0" w:color="auto"/>
            </w:tcBorders>
            <w:vAlign w:val="center"/>
          </w:tcPr>
          <w:p w14:paraId="6BB41566" w14:textId="7D5AA4B2" w:rsidR="006C6285" w:rsidRPr="001E7E3E" w:rsidRDefault="006C6285" w:rsidP="001E7E3E">
            <w:pPr>
              <w:pStyle w:val="NoSpacing"/>
              <w:rPr>
                <w:rFonts w:eastAsiaTheme="minorHAnsi"/>
                <w:sz w:val="24"/>
              </w:rPr>
            </w:pPr>
            <w:r w:rsidRPr="001E7E3E">
              <w:rPr>
                <w:rFonts w:eastAsiaTheme="minorHAnsi"/>
                <w:sz w:val="24"/>
              </w:rPr>
              <w:t>20</w:t>
            </w:r>
            <w:r w:rsidR="008076A4" w:rsidRPr="001E7E3E">
              <w:rPr>
                <w:rFonts w:eastAsiaTheme="minorHAnsi"/>
                <w:sz w:val="24"/>
              </w:rPr>
              <w:t>4</w:t>
            </w:r>
          </w:p>
        </w:tc>
      </w:tr>
      <w:tr w:rsidR="006C6285" w:rsidRPr="001E7E3E" w14:paraId="7151731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15BAE4C" w14:textId="59DD42A3" w:rsidR="006C6285" w:rsidRPr="001E7E3E" w:rsidRDefault="006C6285" w:rsidP="001E7E3E">
            <w:pPr>
              <w:pStyle w:val="NoSpacing"/>
              <w:rPr>
                <w:rFonts w:eastAsiaTheme="minorHAnsi"/>
                <w:sz w:val="24"/>
              </w:rPr>
            </w:pPr>
            <w:r w:rsidRPr="001E7E3E">
              <w:rPr>
                <w:rFonts w:eastAsiaTheme="minorHAnsi"/>
                <w:sz w:val="24"/>
              </w:rPr>
              <w:t xml:space="preserve">ARC OF NORTHEAST INDIANA, </w:t>
            </w:r>
            <w:r w:rsidR="00ED6D81" w:rsidRPr="001E7E3E">
              <w:rPr>
                <w:rFonts w:eastAsiaTheme="minorHAnsi"/>
                <w:sz w:val="24"/>
              </w:rPr>
              <w:t>(</w:t>
            </w:r>
            <w:r w:rsidRPr="001E7E3E">
              <w:rPr>
                <w:rFonts w:eastAsiaTheme="minorHAnsi"/>
                <w:sz w:val="24"/>
              </w:rPr>
              <w:t>THE</w:t>
            </w:r>
            <w:r w:rsidR="00ED6D81" w:rsidRPr="001E7E3E">
              <w:rPr>
                <w:rFonts w:eastAsiaTheme="minorHAnsi"/>
                <w:sz w:val="24"/>
              </w:rPr>
              <w:t>)</w:t>
            </w:r>
          </w:p>
        </w:tc>
        <w:tc>
          <w:tcPr>
            <w:tcW w:w="1390" w:type="dxa"/>
            <w:tcBorders>
              <w:top w:val="single" w:sz="6" w:space="0" w:color="auto"/>
              <w:left w:val="single" w:sz="6" w:space="0" w:color="auto"/>
              <w:bottom w:val="single" w:sz="6" w:space="0" w:color="auto"/>
              <w:right w:val="single" w:sz="6" w:space="0" w:color="auto"/>
            </w:tcBorders>
            <w:vAlign w:val="center"/>
          </w:tcPr>
          <w:p w14:paraId="453A86C8" w14:textId="375A8DA9" w:rsidR="006C6285" w:rsidRPr="001E7E3E" w:rsidRDefault="008076A4" w:rsidP="001E7E3E">
            <w:pPr>
              <w:pStyle w:val="NoSpacing"/>
              <w:rPr>
                <w:rFonts w:eastAsiaTheme="minorHAnsi"/>
                <w:sz w:val="24"/>
              </w:rPr>
            </w:pPr>
            <w:r w:rsidRPr="001E7E3E">
              <w:rPr>
                <w:rFonts w:eastAsiaTheme="minorHAnsi"/>
                <w:sz w:val="24"/>
              </w:rPr>
              <w:t>218</w:t>
            </w:r>
          </w:p>
        </w:tc>
      </w:tr>
      <w:tr w:rsidR="006C6285" w:rsidRPr="001E7E3E" w14:paraId="477BC1A8"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CB8D0F5" w14:textId="77777777" w:rsidR="006C6285" w:rsidRPr="001E7E3E" w:rsidRDefault="006C6285" w:rsidP="001E7E3E">
            <w:pPr>
              <w:pStyle w:val="NoSpacing"/>
              <w:rPr>
                <w:rFonts w:eastAsiaTheme="minorHAnsi"/>
                <w:sz w:val="24"/>
              </w:rPr>
            </w:pPr>
            <w:r w:rsidRPr="001E7E3E">
              <w:rPr>
                <w:rFonts w:eastAsiaTheme="minorHAnsi"/>
                <w:sz w:val="24"/>
              </w:rPr>
              <w:t>ARC OF VIGO COUNTY, INC.</w:t>
            </w:r>
          </w:p>
        </w:tc>
        <w:tc>
          <w:tcPr>
            <w:tcW w:w="1390" w:type="dxa"/>
            <w:tcBorders>
              <w:top w:val="single" w:sz="6" w:space="0" w:color="auto"/>
              <w:left w:val="single" w:sz="6" w:space="0" w:color="auto"/>
              <w:bottom w:val="single" w:sz="6" w:space="0" w:color="auto"/>
              <w:right w:val="single" w:sz="6" w:space="0" w:color="auto"/>
            </w:tcBorders>
            <w:vAlign w:val="center"/>
          </w:tcPr>
          <w:p w14:paraId="3935293C" w14:textId="7711F790" w:rsidR="006C6285" w:rsidRPr="001E7E3E" w:rsidRDefault="006C6285" w:rsidP="001E7E3E">
            <w:pPr>
              <w:pStyle w:val="NoSpacing"/>
              <w:rPr>
                <w:rFonts w:eastAsiaTheme="minorHAnsi"/>
                <w:sz w:val="24"/>
              </w:rPr>
            </w:pPr>
            <w:r w:rsidRPr="001E7E3E">
              <w:rPr>
                <w:rFonts w:eastAsiaTheme="minorHAnsi"/>
                <w:sz w:val="24"/>
              </w:rPr>
              <w:t>2</w:t>
            </w:r>
            <w:r w:rsidR="008076A4" w:rsidRPr="001E7E3E">
              <w:rPr>
                <w:rFonts w:eastAsiaTheme="minorHAnsi"/>
                <w:sz w:val="24"/>
              </w:rPr>
              <w:t>22</w:t>
            </w:r>
          </w:p>
        </w:tc>
      </w:tr>
      <w:tr w:rsidR="006C6285" w:rsidRPr="001E7E3E" w14:paraId="6249405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1C12238" w14:textId="77777777" w:rsidR="006C6285" w:rsidRPr="001E7E3E" w:rsidRDefault="006C6285" w:rsidP="001E7E3E">
            <w:pPr>
              <w:pStyle w:val="NoSpacing"/>
              <w:rPr>
                <w:rFonts w:eastAsiaTheme="minorHAnsi"/>
                <w:sz w:val="24"/>
              </w:rPr>
            </w:pPr>
            <w:r w:rsidRPr="001E7E3E">
              <w:rPr>
                <w:rFonts w:eastAsiaTheme="minorHAnsi"/>
                <w:sz w:val="24"/>
              </w:rPr>
              <w:t>ARC OF WABASH COUNTY, INC. (THE)</w:t>
            </w:r>
          </w:p>
        </w:tc>
        <w:tc>
          <w:tcPr>
            <w:tcW w:w="1390" w:type="dxa"/>
            <w:tcBorders>
              <w:top w:val="single" w:sz="6" w:space="0" w:color="auto"/>
              <w:left w:val="single" w:sz="6" w:space="0" w:color="auto"/>
              <w:bottom w:val="single" w:sz="6" w:space="0" w:color="auto"/>
              <w:right w:val="single" w:sz="6" w:space="0" w:color="auto"/>
            </w:tcBorders>
            <w:vAlign w:val="center"/>
          </w:tcPr>
          <w:p w14:paraId="194AB688" w14:textId="05E0AA39" w:rsidR="006C6285" w:rsidRPr="001E7E3E" w:rsidRDefault="008076A4" w:rsidP="001E7E3E">
            <w:pPr>
              <w:pStyle w:val="NoSpacing"/>
              <w:rPr>
                <w:rFonts w:eastAsiaTheme="minorHAnsi"/>
                <w:sz w:val="24"/>
              </w:rPr>
            </w:pPr>
            <w:r w:rsidRPr="001E7E3E">
              <w:rPr>
                <w:rFonts w:eastAsiaTheme="minorHAnsi"/>
                <w:sz w:val="24"/>
              </w:rPr>
              <w:t>70</w:t>
            </w:r>
          </w:p>
        </w:tc>
      </w:tr>
      <w:tr w:rsidR="006C6285" w:rsidRPr="001E7E3E" w14:paraId="4B4A2E83"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F37427F" w14:textId="77777777" w:rsidR="006C6285" w:rsidRPr="001E7E3E" w:rsidRDefault="006C6285" w:rsidP="001E7E3E">
            <w:pPr>
              <w:pStyle w:val="NoSpacing"/>
              <w:rPr>
                <w:rFonts w:eastAsiaTheme="minorHAnsi"/>
                <w:sz w:val="24"/>
              </w:rPr>
            </w:pPr>
            <w:r w:rsidRPr="001E7E3E">
              <w:rPr>
                <w:rFonts w:eastAsiaTheme="minorHAnsi"/>
                <w:sz w:val="24"/>
              </w:rPr>
              <w:t>ARC OPPORTUNITIES OF LEGRANGE COUNTY, INC.</w:t>
            </w:r>
          </w:p>
        </w:tc>
        <w:tc>
          <w:tcPr>
            <w:tcW w:w="1390" w:type="dxa"/>
            <w:tcBorders>
              <w:top w:val="single" w:sz="6" w:space="0" w:color="auto"/>
              <w:left w:val="single" w:sz="6" w:space="0" w:color="auto"/>
              <w:bottom w:val="single" w:sz="6" w:space="0" w:color="auto"/>
              <w:right w:val="single" w:sz="6" w:space="0" w:color="auto"/>
            </w:tcBorders>
            <w:vAlign w:val="center"/>
          </w:tcPr>
          <w:p w14:paraId="75FECEA3"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5051BC44"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7E7359F" w14:textId="77777777" w:rsidR="006C6285" w:rsidRPr="001E7E3E" w:rsidRDefault="006C6285" w:rsidP="001E7E3E">
            <w:pPr>
              <w:pStyle w:val="NoSpacing"/>
              <w:rPr>
                <w:rFonts w:eastAsiaTheme="minorHAnsi"/>
                <w:sz w:val="24"/>
              </w:rPr>
            </w:pPr>
            <w:r w:rsidRPr="001E7E3E">
              <w:rPr>
                <w:rFonts w:eastAsiaTheme="minorHAnsi"/>
                <w:sz w:val="24"/>
              </w:rPr>
              <w:t>AUTISM SOCIETY OF INDIANA</w:t>
            </w:r>
          </w:p>
        </w:tc>
        <w:tc>
          <w:tcPr>
            <w:tcW w:w="1390" w:type="dxa"/>
            <w:tcBorders>
              <w:top w:val="single" w:sz="6" w:space="0" w:color="auto"/>
              <w:left w:val="single" w:sz="6" w:space="0" w:color="auto"/>
              <w:bottom w:val="single" w:sz="6" w:space="0" w:color="auto"/>
              <w:right w:val="single" w:sz="6" w:space="0" w:color="auto"/>
            </w:tcBorders>
            <w:vAlign w:val="center"/>
          </w:tcPr>
          <w:p w14:paraId="7C011363"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78B32CE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6AB06DEB" w14:textId="77777777" w:rsidR="006C6285" w:rsidRPr="001E7E3E" w:rsidRDefault="006C6285" w:rsidP="001E7E3E">
            <w:pPr>
              <w:pStyle w:val="NoSpacing"/>
              <w:rPr>
                <w:rFonts w:eastAsiaTheme="minorHAnsi"/>
                <w:sz w:val="24"/>
              </w:rPr>
            </w:pPr>
            <w:r w:rsidRPr="001E7E3E">
              <w:rPr>
                <w:rFonts w:eastAsiaTheme="minorHAnsi"/>
                <w:sz w:val="24"/>
              </w:rPr>
              <w:t>BENCHMARK HUMAN SERVICES (ALSO ACHIEVA/A.W. HOLDINGS, LLC)</w:t>
            </w:r>
          </w:p>
        </w:tc>
        <w:tc>
          <w:tcPr>
            <w:tcW w:w="1390" w:type="dxa"/>
            <w:tcBorders>
              <w:top w:val="single" w:sz="6" w:space="0" w:color="auto"/>
              <w:left w:val="single" w:sz="6" w:space="0" w:color="auto"/>
              <w:bottom w:val="single" w:sz="6" w:space="0" w:color="auto"/>
              <w:right w:val="single" w:sz="6" w:space="0" w:color="auto"/>
            </w:tcBorders>
            <w:vAlign w:val="center"/>
          </w:tcPr>
          <w:p w14:paraId="0D75BBD2" w14:textId="46AFA37C" w:rsidR="006C6285" w:rsidRPr="001E7E3E" w:rsidRDefault="008076A4" w:rsidP="001E7E3E">
            <w:pPr>
              <w:pStyle w:val="NoSpacing"/>
              <w:rPr>
                <w:rFonts w:eastAsiaTheme="minorHAnsi"/>
                <w:sz w:val="24"/>
              </w:rPr>
            </w:pPr>
            <w:r w:rsidRPr="001E7E3E">
              <w:rPr>
                <w:rFonts w:eastAsiaTheme="minorHAnsi"/>
                <w:sz w:val="24"/>
              </w:rPr>
              <w:t>227</w:t>
            </w:r>
          </w:p>
        </w:tc>
      </w:tr>
      <w:tr w:rsidR="006C6285" w:rsidRPr="001E7E3E" w14:paraId="7C45B27F"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0CCE4395" w14:textId="77777777" w:rsidR="006C6285" w:rsidRPr="001E7E3E" w:rsidRDefault="006C6285" w:rsidP="001E7E3E">
            <w:pPr>
              <w:pStyle w:val="NoSpacing"/>
              <w:rPr>
                <w:rFonts w:eastAsiaTheme="minorHAnsi"/>
                <w:sz w:val="24"/>
              </w:rPr>
            </w:pPr>
            <w:r w:rsidRPr="001E7E3E">
              <w:rPr>
                <w:rFonts w:eastAsiaTheme="minorHAnsi"/>
                <w:sz w:val="24"/>
              </w:rPr>
              <w:t>BEST BUDDIES INTERNATIONAL</w:t>
            </w:r>
          </w:p>
        </w:tc>
        <w:tc>
          <w:tcPr>
            <w:tcW w:w="1390" w:type="dxa"/>
            <w:tcBorders>
              <w:top w:val="single" w:sz="6" w:space="0" w:color="auto"/>
              <w:left w:val="single" w:sz="6" w:space="0" w:color="auto"/>
              <w:bottom w:val="single" w:sz="6" w:space="0" w:color="auto"/>
              <w:right w:val="single" w:sz="6" w:space="0" w:color="auto"/>
            </w:tcBorders>
            <w:vAlign w:val="center"/>
          </w:tcPr>
          <w:p w14:paraId="60035E4E" w14:textId="6A25B060" w:rsidR="006C6285" w:rsidRPr="001E7E3E" w:rsidRDefault="008076A4" w:rsidP="001E7E3E">
            <w:pPr>
              <w:pStyle w:val="NoSpacing"/>
              <w:rPr>
                <w:rFonts w:eastAsiaTheme="minorHAnsi"/>
                <w:sz w:val="24"/>
              </w:rPr>
            </w:pPr>
            <w:r w:rsidRPr="001E7E3E">
              <w:rPr>
                <w:rFonts w:eastAsiaTheme="minorHAnsi"/>
                <w:sz w:val="24"/>
              </w:rPr>
              <w:t>2</w:t>
            </w:r>
          </w:p>
        </w:tc>
      </w:tr>
      <w:tr w:rsidR="006C6285" w:rsidRPr="001E7E3E" w14:paraId="6C846AA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8DD9C03" w14:textId="77777777" w:rsidR="006C6285" w:rsidRPr="001E7E3E" w:rsidRDefault="006C6285" w:rsidP="001E7E3E">
            <w:pPr>
              <w:pStyle w:val="NoSpacing"/>
              <w:rPr>
                <w:rFonts w:eastAsiaTheme="minorHAnsi"/>
                <w:sz w:val="24"/>
              </w:rPr>
            </w:pPr>
            <w:r w:rsidRPr="001E7E3E">
              <w:rPr>
                <w:rFonts w:eastAsiaTheme="minorHAnsi"/>
                <w:sz w:val="24"/>
              </w:rPr>
              <w:t>BETHESDA LUTHERAN COMMUNITIES, INC.</w:t>
            </w:r>
          </w:p>
        </w:tc>
        <w:tc>
          <w:tcPr>
            <w:tcW w:w="1390" w:type="dxa"/>
            <w:tcBorders>
              <w:top w:val="single" w:sz="6" w:space="0" w:color="auto"/>
              <w:left w:val="single" w:sz="6" w:space="0" w:color="auto"/>
              <w:bottom w:val="single" w:sz="6" w:space="0" w:color="auto"/>
              <w:right w:val="single" w:sz="6" w:space="0" w:color="auto"/>
            </w:tcBorders>
            <w:vAlign w:val="center"/>
          </w:tcPr>
          <w:p w14:paraId="08B6EBE5"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3F4DC8AB"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EFBBCC4" w14:textId="77777777" w:rsidR="006C6285" w:rsidRPr="001E7E3E" w:rsidRDefault="006C6285" w:rsidP="001E7E3E">
            <w:pPr>
              <w:pStyle w:val="NoSpacing"/>
              <w:rPr>
                <w:rFonts w:eastAsiaTheme="minorHAnsi"/>
                <w:sz w:val="24"/>
              </w:rPr>
            </w:pPr>
            <w:r w:rsidRPr="001E7E3E">
              <w:rPr>
                <w:rFonts w:eastAsiaTheme="minorHAnsi"/>
                <w:sz w:val="24"/>
              </w:rPr>
              <w:t>BI-COUNTY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0A85850C" w14:textId="79F4F4B8" w:rsidR="006C6285" w:rsidRPr="001E7E3E" w:rsidRDefault="006C6285" w:rsidP="001E7E3E">
            <w:pPr>
              <w:pStyle w:val="NoSpacing"/>
              <w:rPr>
                <w:rFonts w:eastAsiaTheme="minorHAnsi"/>
                <w:sz w:val="24"/>
              </w:rPr>
            </w:pPr>
            <w:r w:rsidRPr="001E7E3E">
              <w:rPr>
                <w:rFonts w:eastAsiaTheme="minorHAnsi"/>
                <w:sz w:val="24"/>
              </w:rPr>
              <w:t>7</w:t>
            </w:r>
            <w:r w:rsidR="008076A4" w:rsidRPr="001E7E3E">
              <w:rPr>
                <w:rFonts w:eastAsiaTheme="minorHAnsi"/>
                <w:sz w:val="24"/>
              </w:rPr>
              <w:t>3</w:t>
            </w:r>
          </w:p>
        </w:tc>
      </w:tr>
      <w:tr w:rsidR="006C6285" w:rsidRPr="001E7E3E" w14:paraId="1EBD59A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6182183" w14:textId="77777777" w:rsidR="006C6285" w:rsidRPr="001E7E3E" w:rsidRDefault="006C6285" w:rsidP="001E7E3E">
            <w:pPr>
              <w:pStyle w:val="NoSpacing"/>
              <w:rPr>
                <w:rFonts w:eastAsiaTheme="minorHAnsi"/>
                <w:sz w:val="24"/>
              </w:rPr>
            </w:pPr>
            <w:r w:rsidRPr="001E7E3E">
              <w:rPr>
                <w:rFonts w:eastAsiaTheme="minorHAnsi"/>
                <w:sz w:val="24"/>
              </w:rPr>
              <w:t>BLUE RIVER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06CA6CD2" w14:textId="6D472262" w:rsidR="006C6285" w:rsidRPr="001E7E3E" w:rsidRDefault="008076A4" w:rsidP="001E7E3E">
            <w:pPr>
              <w:pStyle w:val="NoSpacing"/>
              <w:rPr>
                <w:rFonts w:eastAsiaTheme="minorHAnsi"/>
                <w:sz w:val="24"/>
              </w:rPr>
            </w:pPr>
            <w:r w:rsidRPr="001E7E3E">
              <w:rPr>
                <w:rFonts w:eastAsiaTheme="minorHAnsi"/>
                <w:sz w:val="24"/>
              </w:rPr>
              <w:t>171</w:t>
            </w:r>
          </w:p>
        </w:tc>
      </w:tr>
      <w:tr w:rsidR="006C6285" w:rsidRPr="001E7E3E" w14:paraId="33727C4F"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61263430" w14:textId="77777777" w:rsidR="006C6285" w:rsidRPr="001E7E3E" w:rsidRDefault="006C6285" w:rsidP="001E7E3E">
            <w:pPr>
              <w:pStyle w:val="NoSpacing"/>
              <w:rPr>
                <w:rFonts w:eastAsiaTheme="minorHAnsi"/>
                <w:sz w:val="24"/>
              </w:rPr>
            </w:pPr>
            <w:r w:rsidRPr="001E7E3E">
              <w:rPr>
                <w:rFonts w:eastAsiaTheme="minorHAnsi"/>
                <w:sz w:val="24"/>
              </w:rPr>
              <w:t>BONA VISTA PROGRAMS, INC.</w:t>
            </w:r>
          </w:p>
        </w:tc>
        <w:tc>
          <w:tcPr>
            <w:tcW w:w="1390" w:type="dxa"/>
            <w:tcBorders>
              <w:top w:val="single" w:sz="6" w:space="0" w:color="auto"/>
              <w:left w:val="single" w:sz="6" w:space="0" w:color="auto"/>
              <w:bottom w:val="single" w:sz="6" w:space="0" w:color="auto"/>
              <w:right w:val="single" w:sz="6" w:space="0" w:color="auto"/>
            </w:tcBorders>
            <w:vAlign w:val="center"/>
          </w:tcPr>
          <w:p w14:paraId="11ACF653" w14:textId="34D98BB1" w:rsidR="006C6285" w:rsidRPr="001E7E3E" w:rsidRDefault="006C6285" w:rsidP="001E7E3E">
            <w:pPr>
              <w:pStyle w:val="NoSpacing"/>
              <w:rPr>
                <w:rFonts w:eastAsiaTheme="minorHAnsi"/>
                <w:sz w:val="24"/>
              </w:rPr>
            </w:pPr>
            <w:r w:rsidRPr="001E7E3E">
              <w:rPr>
                <w:rFonts w:eastAsiaTheme="minorHAnsi"/>
                <w:sz w:val="24"/>
              </w:rPr>
              <w:t>1</w:t>
            </w:r>
            <w:r w:rsidR="008076A4" w:rsidRPr="001E7E3E">
              <w:rPr>
                <w:rFonts w:eastAsiaTheme="minorHAnsi"/>
                <w:sz w:val="24"/>
              </w:rPr>
              <w:t>36</w:t>
            </w:r>
          </w:p>
        </w:tc>
      </w:tr>
      <w:tr w:rsidR="006C6285" w:rsidRPr="001E7E3E" w14:paraId="46384D59"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A17B858" w14:textId="77777777" w:rsidR="006C6285" w:rsidRPr="001E7E3E" w:rsidRDefault="006C6285" w:rsidP="001E7E3E">
            <w:pPr>
              <w:pStyle w:val="NoSpacing"/>
              <w:rPr>
                <w:rFonts w:eastAsiaTheme="minorHAnsi"/>
                <w:sz w:val="24"/>
              </w:rPr>
            </w:pPr>
            <w:r w:rsidRPr="001E7E3E">
              <w:rPr>
                <w:rFonts w:eastAsiaTheme="minorHAnsi"/>
                <w:sz w:val="24"/>
              </w:rPr>
              <w:t>BOSMA INDUSTRIES FOR THE BLIND, INC.</w:t>
            </w:r>
          </w:p>
        </w:tc>
        <w:tc>
          <w:tcPr>
            <w:tcW w:w="1390" w:type="dxa"/>
            <w:tcBorders>
              <w:top w:val="single" w:sz="6" w:space="0" w:color="auto"/>
              <w:left w:val="single" w:sz="6" w:space="0" w:color="auto"/>
              <w:bottom w:val="single" w:sz="6" w:space="0" w:color="auto"/>
              <w:right w:val="single" w:sz="6" w:space="0" w:color="auto"/>
            </w:tcBorders>
            <w:vAlign w:val="center"/>
          </w:tcPr>
          <w:p w14:paraId="0B07D30D" w14:textId="151F4634" w:rsidR="006C6285" w:rsidRPr="001E7E3E" w:rsidRDefault="006C6285" w:rsidP="001E7E3E">
            <w:pPr>
              <w:pStyle w:val="NoSpacing"/>
              <w:rPr>
                <w:rFonts w:eastAsiaTheme="minorHAnsi"/>
                <w:sz w:val="24"/>
              </w:rPr>
            </w:pPr>
            <w:r w:rsidRPr="001E7E3E">
              <w:rPr>
                <w:rFonts w:eastAsiaTheme="minorHAnsi"/>
                <w:sz w:val="24"/>
              </w:rPr>
              <w:t>1</w:t>
            </w:r>
            <w:r w:rsidR="008076A4" w:rsidRPr="001E7E3E">
              <w:rPr>
                <w:rFonts w:eastAsiaTheme="minorHAnsi"/>
                <w:sz w:val="24"/>
              </w:rPr>
              <w:t>39</w:t>
            </w:r>
          </w:p>
        </w:tc>
      </w:tr>
      <w:tr w:rsidR="006C6285" w:rsidRPr="001E7E3E" w14:paraId="3D383614"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8FC2EF0" w14:textId="77777777" w:rsidR="006C6285" w:rsidRPr="001E7E3E" w:rsidRDefault="006C6285" w:rsidP="001E7E3E">
            <w:pPr>
              <w:pStyle w:val="NoSpacing"/>
              <w:rPr>
                <w:rFonts w:eastAsiaTheme="minorHAnsi"/>
                <w:sz w:val="24"/>
              </w:rPr>
            </w:pPr>
            <w:r w:rsidRPr="001E7E3E">
              <w:rPr>
                <w:rFonts w:eastAsiaTheme="minorHAnsi"/>
                <w:sz w:val="24"/>
              </w:rPr>
              <w:t>CARDINAL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7DA1A4B2" w14:textId="2FC7E46C" w:rsidR="006C6285" w:rsidRPr="001E7E3E" w:rsidRDefault="008076A4" w:rsidP="001E7E3E">
            <w:pPr>
              <w:pStyle w:val="NoSpacing"/>
              <w:rPr>
                <w:rFonts w:eastAsiaTheme="minorHAnsi"/>
                <w:sz w:val="24"/>
              </w:rPr>
            </w:pPr>
            <w:r w:rsidRPr="001E7E3E">
              <w:rPr>
                <w:rFonts w:eastAsiaTheme="minorHAnsi"/>
                <w:sz w:val="24"/>
              </w:rPr>
              <w:t>298</w:t>
            </w:r>
          </w:p>
        </w:tc>
      </w:tr>
      <w:tr w:rsidR="006C6285" w:rsidRPr="001E7E3E" w14:paraId="6D473CA0"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07F6905" w14:textId="77777777" w:rsidR="006C6285" w:rsidRPr="001E7E3E" w:rsidRDefault="006C6285" w:rsidP="001E7E3E">
            <w:pPr>
              <w:pStyle w:val="NoSpacing"/>
              <w:rPr>
                <w:rFonts w:eastAsiaTheme="minorHAnsi"/>
                <w:sz w:val="24"/>
              </w:rPr>
            </w:pPr>
            <w:r w:rsidRPr="001E7E3E">
              <w:rPr>
                <w:rFonts w:eastAsiaTheme="minorHAnsi"/>
                <w:sz w:val="24"/>
              </w:rPr>
              <w:t>CAREY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22ECB0CC" w14:textId="62A56013" w:rsidR="006C6285" w:rsidRPr="001E7E3E" w:rsidRDefault="005E4CFE" w:rsidP="001E7E3E">
            <w:pPr>
              <w:pStyle w:val="NoSpacing"/>
              <w:rPr>
                <w:rFonts w:eastAsiaTheme="minorHAnsi"/>
                <w:sz w:val="24"/>
              </w:rPr>
            </w:pPr>
            <w:r w:rsidRPr="001E7E3E">
              <w:rPr>
                <w:rFonts w:eastAsiaTheme="minorHAnsi"/>
                <w:sz w:val="24"/>
              </w:rPr>
              <w:t>84</w:t>
            </w:r>
          </w:p>
        </w:tc>
      </w:tr>
      <w:tr w:rsidR="006C6285" w:rsidRPr="001E7E3E" w14:paraId="0315EA98"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60EDC101" w14:textId="77777777" w:rsidR="006C6285" w:rsidRPr="001E7E3E" w:rsidRDefault="006C6285" w:rsidP="001E7E3E">
            <w:pPr>
              <w:pStyle w:val="NoSpacing"/>
              <w:rPr>
                <w:rFonts w:eastAsiaTheme="minorHAnsi"/>
                <w:sz w:val="24"/>
              </w:rPr>
            </w:pPr>
            <w:r w:rsidRPr="001E7E3E">
              <w:rPr>
                <w:rFonts w:eastAsiaTheme="minorHAnsi"/>
                <w:sz w:val="24"/>
              </w:rPr>
              <w:t>CDC RESOURCES, INC.</w:t>
            </w:r>
          </w:p>
        </w:tc>
        <w:tc>
          <w:tcPr>
            <w:tcW w:w="1390" w:type="dxa"/>
            <w:tcBorders>
              <w:top w:val="single" w:sz="6" w:space="0" w:color="auto"/>
              <w:left w:val="single" w:sz="6" w:space="0" w:color="auto"/>
              <w:bottom w:val="single" w:sz="6" w:space="0" w:color="auto"/>
              <w:right w:val="single" w:sz="6" w:space="0" w:color="auto"/>
            </w:tcBorders>
            <w:vAlign w:val="center"/>
          </w:tcPr>
          <w:p w14:paraId="1C123F5F" w14:textId="601E4FF6" w:rsidR="006C6285" w:rsidRPr="001E7E3E" w:rsidRDefault="005E4CFE" w:rsidP="001E7E3E">
            <w:pPr>
              <w:pStyle w:val="NoSpacing"/>
              <w:rPr>
                <w:rFonts w:eastAsiaTheme="minorHAnsi"/>
                <w:sz w:val="24"/>
              </w:rPr>
            </w:pPr>
            <w:r w:rsidRPr="001E7E3E">
              <w:rPr>
                <w:rFonts w:eastAsiaTheme="minorHAnsi"/>
                <w:sz w:val="24"/>
              </w:rPr>
              <w:t>17</w:t>
            </w:r>
          </w:p>
        </w:tc>
      </w:tr>
      <w:tr w:rsidR="006C6285" w:rsidRPr="001E7E3E" w14:paraId="43DDC97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AD57CD7" w14:textId="77777777" w:rsidR="006C6285" w:rsidRPr="001E7E3E" w:rsidRDefault="006C6285" w:rsidP="001E7E3E">
            <w:pPr>
              <w:pStyle w:val="NoSpacing"/>
              <w:rPr>
                <w:rFonts w:eastAsiaTheme="minorHAnsi"/>
                <w:sz w:val="24"/>
              </w:rPr>
            </w:pPr>
            <w:r w:rsidRPr="001E7E3E">
              <w:rPr>
                <w:rFonts w:eastAsiaTheme="minorHAnsi"/>
                <w:sz w:val="24"/>
              </w:rPr>
              <w:t>CHILD-ADULT RESOURCE SERVICES</w:t>
            </w:r>
          </w:p>
        </w:tc>
        <w:tc>
          <w:tcPr>
            <w:tcW w:w="1390" w:type="dxa"/>
            <w:tcBorders>
              <w:top w:val="single" w:sz="6" w:space="0" w:color="auto"/>
              <w:left w:val="single" w:sz="6" w:space="0" w:color="auto"/>
              <w:bottom w:val="single" w:sz="6" w:space="0" w:color="auto"/>
              <w:right w:val="single" w:sz="6" w:space="0" w:color="auto"/>
            </w:tcBorders>
            <w:vAlign w:val="center"/>
          </w:tcPr>
          <w:p w14:paraId="6B234A14" w14:textId="28C32A07" w:rsidR="006C6285" w:rsidRPr="001E7E3E" w:rsidRDefault="006C6285" w:rsidP="001E7E3E">
            <w:pPr>
              <w:pStyle w:val="NoSpacing"/>
              <w:rPr>
                <w:rFonts w:eastAsiaTheme="minorHAnsi"/>
                <w:sz w:val="24"/>
              </w:rPr>
            </w:pPr>
            <w:r w:rsidRPr="001E7E3E">
              <w:rPr>
                <w:rFonts w:eastAsiaTheme="minorHAnsi"/>
                <w:sz w:val="24"/>
              </w:rPr>
              <w:t>43</w:t>
            </w:r>
            <w:r w:rsidR="005E4CFE" w:rsidRPr="001E7E3E">
              <w:rPr>
                <w:rFonts w:eastAsiaTheme="minorHAnsi"/>
                <w:sz w:val="24"/>
              </w:rPr>
              <w:t>0</w:t>
            </w:r>
          </w:p>
        </w:tc>
      </w:tr>
      <w:tr w:rsidR="006C6285" w:rsidRPr="001E7E3E" w14:paraId="457D9E7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36FC3CB" w14:textId="53A351CC" w:rsidR="006C6285" w:rsidRPr="001E7E3E" w:rsidRDefault="006C6285" w:rsidP="001E7E3E">
            <w:pPr>
              <w:pStyle w:val="NoSpacing"/>
              <w:rPr>
                <w:rFonts w:eastAsiaTheme="minorHAnsi"/>
                <w:sz w:val="24"/>
              </w:rPr>
            </w:pPr>
            <w:r w:rsidRPr="001E7E3E">
              <w:rPr>
                <w:rFonts w:eastAsiaTheme="minorHAnsi"/>
                <w:sz w:val="24"/>
              </w:rPr>
              <w:t>CORVILLA</w:t>
            </w:r>
            <w:r w:rsidR="00ED6D81" w:rsidRPr="001E7E3E">
              <w:rPr>
                <w:rFonts w:eastAsiaTheme="minorHAnsi"/>
                <w:sz w:val="24"/>
              </w:rPr>
              <w:t>,</w:t>
            </w:r>
            <w:r w:rsidRPr="001E7E3E">
              <w:rPr>
                <w:rFonts w:eastAsiaTheme="minorHAnsi"/>
                <w:sz w:val="24"/>
              </w:rPr>
              <w:t xml:space="preserve"> INC.</w:t>
            </w:r>
          </w:p>
        </w:tc>
        <w:tc>
          <w:tcPr>
            <w:tcW w:w="1390" w:type="dxa"/>
            <w:tcBorders>
              <w:top w:val="single" w:sz="6" w:space="0" w:color="auto"/>
              <w:left w:val="single" w:sz="6" w:space="0" w:color="auto"/>
              <w:bottom w:val="single" w:sz="6" w:space="0" w:color="auto"/>
              <w:right w:val="single" w:sz="6" w:space="0" w:color="auto"/>
            </w:tcBorders>
            <w:vAlign w:val="center"/>
          </w:tcPr>
          <w:p w14:paraId="61B70668" w14:textId="692F909C" w:rsidR="006C6285" w:rsidRPr="001E7E3E" w:rsidRDefault="005E4CFE" w:rsidP="001E7E3E">
            <w:pPr>
              <w:pStyle w:val="NoSpacing"/>
              <w:rPr>
                <w:rFonts w:eastAsiaTheme="minorHAnsi"/>
                <w:sz w:val="24"/>
              </w:rPr>
            </w:pPr>
            <w:r w:rsidRPr="001E7E3E">
              <w:rPr>
                <w:rFonts w:eastAsiaTheme="minorHAnsi"/>
                <w:sz w:val="24"/>
              </w:rPr>
              <w:t>197</w:t>
            </w:r>
          </w:p>
        </w:tc>
      </w:tr>
      <w:tr w:rsidR="006C6285" w:rsidRPr="001E7E3E" w14:paraId="5719F9EF"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F344D02" w14:textId="44593B60" w:rsidR="006C6285" w:rsidRPr="001E7E3E" w:rsidRDefault="00D336D6" w:rsidP="001E7E3E">
            <w:pPr>
              <w:pStyle w:val="NoSpacing"/>
              <w:rPr>
                <w:rFonts w:eastAsiaTheme="minorHAnsi"/>
                <w:sz w:val="24"/>
              </w:rPr>
            </w:pPr>
            <w:r w:rsidRPr="001E7E3E">
              <w:rPr>
                <w:rFonts w:eastAsiaTheme="minorHAnsi"/>
                <w:sz w:val="24"/>
              </w:rPr>
              <w:t>DEVELOPMENTAL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147B3E84" w14:textId="0C85BCD4" w:rsidR="006C6285" w:rsidRPr="001E7E3E" w:rsidRDefault="003E1A76" w:rsidP="001E7E3E">
            <w:pPr>
              <w:pStyle w:val="NoSpacing"/>
              <w:rPr>
                <w:rFonts w:eastAsiaTheme="minorHAnsi"/>
                <w:sz w:val="24"/>
              </w:rPr>
            </w:pPr>
            <w:r w:rsidRPr="001E7E3E">
              <w:rPr>
                <w:rFonts w:eastAsiaTheme="minorHAnsi"/>
                <w:sz w:val="24"/>
              </w:rPr>
              <w:t>625</w:t>
            </w:r>
          </w:p>
        </w:tc>
      </w:tr>
      <w:tr w:rsidR="006C6285" w:rsidRPr="001E7E3E" w14:paraId="66A7DE78"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A963791" w14:textId="59282DE4" w:rsidR="006C6285" w:rsidRPr="001E7E3E" w:rsidRDefault="00D336D6" w:rsidP="001E7E3E">
            <w:pPr>
              <w:pStyle w:val="NoSpacing"/>
              <w:rPr>
                <w:rFonts w:eastAsiaTheme="minorHAnsi"/>
                <w:sz w:val="24"/>
              </w:rPr>
            </w:pPr>
            <w:r w:rsidRPr="001E7E3E">
              <w:rPr>
                <w:rFonts w:eastAsiaTheme="minorHAnsi"/>
                <w:sz w:val="24"/>
              </w:rPr>
              <w:t>EASTER SEALS CROSSROADS REHABILITATION CENTER, INC.</w:t>
            </w:r>
          </w:p>
        </w:tc>
        <w:tc>
          <w:tcPr>
            <w:tcW w:w="1390" w:type="dxa"/>
            <w:tcBorders>
              <w:top w:val="single" w:sz="6" w:space="0" w:color="auto"/>
              <w:left w:val="single" w:sz="6" w:space="0" w:color="auto"/>
              <w:bottom w:val="single" w:sz="6" w:space="0" w:color="auto"/>
              <w:right w:val="single" w:sz="6" w:space="0" w:color="auto"/>
            </w:tcBorders>
            <w:vAlign w:val="center"/>
          </w:tcPr>
          <w:p w14:paraId="0FDE852E" w14:textId="13C0A863" w:rsidR="006C6285" w:rsidRPr="001E7E3E" w:rsidRDefault="003E1A76" w:rsidP="001E7E3E">
            <w:pPr>
              <w:pStyle w:val="NoSpacing"/>
              <w:rPr>
                <w:rFonts w:eastAsiaTheme="minorHAnsi"/>
                <w:sz w:val="24"/>
              </w:rPr>
            </w:pPr>
            <w:r w:rsidRPr="001E7E3E">
              <w:rPr>
                <w:rFonts w:eastAsiaTheme="minorHAnsi"/>
                <w:sz w:val="24"/>
              </w:rPr>
              <w:t>232</w:t>
            </w:r>
          </w:p>
        </w:tc>
      </w:tr>
      <w:tr w:rsidR="006C6285" w:rsidRPr="001E7E3E" w14:paraId="20917C8B"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10E9A9A" w14:textId="522800B2" w:rsidR="006C6285" w:rsidRPr="001E7E3E" w:rsidRDefault="006C6285" w:rsidP="001E7E3E">
            <w:pPr>
              <w:pStyle w:val="NoSpacing"/>
              <w:rPr>
                <w:rFonts w:eastAsiaTheme="minorHAnsi"/>
                <w:sz w:val="24"/>
              </w:rPr>
            </w:pPr>
            <w:r w:rsidRPr="001E7E3E">
              <w:rPr>
                <w:rFonts w:eastAsiaTheme="minorHAnsi"/>
                <w:sz w:val="24"/>
              </w:rPr>
              <w:t>EASTER</w:t>
            </w:r>
            <w:r w:rsidR="00D336D6" w:rsidRPr="001E7E3E">
              <w:rPr>
                <w:rFonts w:eastAsiaTheme="minorHAnsi"/>
                <w:sz w:val="24"/>
              </w:rPr>
              <w:t xml:space="preserve"> </w:t>
            </w:r>
            <w:r w:rsidRPr="001E7E3E">
              <w:rPr>
                <w:rFonts w:eastAsiaTheme="minorHAnsi"/>
                <w:sz w:val="24"/>
              </w:rPr>
              <w:t>SEALS REHABILITATION CENTER EVANSVILLE-ASPIRE</w:t>
            </w:r>
          </w:p>
        </w:tc>
        <w:tc>
          <w:tcPr>
            <w:tcW w:w="1390" w:type="dxa"/>
            <w:tcBorders>
              <w:top w:val="single" w:sz="6" w:space="0" w:color="auto"/>
              <w:left w:val="single" w:sz="6" w:space="0" w:color="auto"/>
              <w:bottom w:val="single" w:sz="6" w:space="0" w:color="auto"/>
              <w:right w:val="single" w:sz="6" w:space="0" w:color="auto"/>
            </w:tcBorders>
            <w:vAlign w:val="center"/>
          </w:tcPr>
          <w:p w14:paraId="384DED33" w14:textId="221F1DF2" w:rsidR="006C6285" w:rsidRPr="001E7E3E" w:rsidRDefault="006C6285" w:rsidP="001E7E3E">
            <w:pPr>
              <w:pStyle w:val="NoSpacing"/>
              <w:rPr>
                <w:rFonts w:eastAsiaTheme="minorHAnsi"/>
                <w:sz w:val="24"/>
              </w:rPr>
            </w:pPr>
            <w:r w:rsidRPr="001E7E3E">
              <w:rPr>
                <w:rFonts w:eastAsiaTheme="minorHAnsi"/>
                <w:sz w:val="24"/>
              </w:rPr>
              <w:t>5</w:t>
            </w:r>
            <w:r w:rsidR="003E1A76" w:rsidRPr="001E7E3E">
              <w:rPr>
                <w:rFonts w:eastAsiaTheme="minorHAnsi"/>
                <w:sz w:val="24"/>
              </w:rPr>
              <w:t>6</w:t>
            </w:r>
          </w:p>
        </w:tc>
      </w:tr>
      <w:tr w:rsidR="006C6285" w:rsidRPr="001E7E3E" w14:paraId="450877D9"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0863B11F" w14:textId="77777777" w:rsidR="006C6285" w:rsidRPr="001E7E3E" w:rsidRDefault="006C6285" w:rsidP="001E7E3E">
            <w:pPr>
              <w:pStyle w:val="NoSpacing"/>
              <w:rPr>
                <w:rFonts w:eastAsiaTheme="minorHAnsi"/>
                <w:sz w:val="24"/>
              </w:rPr>
            </w:pPr>
            <w:r w:rsidRPr="001E7E3E">
              <w:rPr>
                <w:rFonts w:eastAsiaTheme="minorHAnsi"/>
                <w:sz w:val="24"/>
              </w:rPr>
              <w:t>EVANSVILLE ARC, INC.</w:t>
            </w:r>
          </w:p>
        </w:tc>
        <w:tc>
          <w:tcPr>
            <w:tcW w:w="1390" w:type="dxa"/>
            <w:tcBorders>
              <w:top w:val="single" w:sz="6" w:space="0" w:color="auto"/>
              <w:left w:val="single" w:sz="6" w:space="0" w:color="auto"/>
              <w:bottom w:val="single" w:sz="6" w:space="0" w:color="auto"/>
              <w:right w:val="single" w:sz="6" w:space="0" w:color="auto"/>
            </w:tcBorders>
            <w:vAlign w:val="center"/>
          </w:tcPr>
          <w:p w14:paraId="738EB6D1" w14:textId="58661FEA" w:rsidR="006C6285" w:rsidRPr="001E7E3E" w:rsidRDefault="006C6285" w:rsidP="001E7E3E">
            <w:pPr>
              <w:pStyle w:val="NoSpacing"/>
              <w:rPr>
                <w:rFonts w:eastAsiaTheme="minorHAnsi"/>
                <w:sz w:val="24"/>
              </w:rPr>
            </w:pPr>
            <w:r w:rsidRPr="001E7E3E">
              <w:rPr>
                <w:rFonts w:eastAsiaTheme="minorHAnsi"/>
                <w:sz w:val="24"/>
              </w:rPr>
              <w:t>3</w:t>
            </w:r>
            <w:r w:rsidR="00FF05BC" w:rsidRPr="001E7E3E">
              <w:rPr>
                <w:rFonts w:eastAsiaTheme="minorHAnsi"/>
                <w:sz w:val="24"/>
              </w:rPr>
              <w:t>34</w:t>
            </w:r>
          </w:p>
        </w:tc>
      </w:tr>
      <w:tr w:rsidR="006C6285" w:rsidRPr="001E7E3E" w14:paraId="6E654D0F"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0EA867D" w14:textId="77777777" w:rsidR="006C6285" w:rsidRPr="001E7E3E" w:rsidRDefault="006C6285" w:rsidP="001E7E3E">
            <w:pPr>
              <w:pStyle w:val="NoSpacing"/>
              <w:rPr>
                <w:rFonts w:eastAsiaTheme="minorHAnsi"/>
                <w:sz w:val="24"/>
              </w:rPr>
            </w:pPr>
            <w:r w:rsidRPr="001E7E3E">
              <w:rPr>
                <w:rFonts w:eastAsiaTheme="minorHAnsi"/>
                <w:sz w:val="24"/>
              </w:rPr>
              <w:t>EVANSVILLE GOODWILL INDUSTRIES, INC.</w:t>
            </w:r>
          </w:p>
        </w:tc>
        <w:tc>
          <w:tcPr>
            <w:tcW w:w="1390" w:type="dxa"/>
            <w:tcBorders>
              <w:top w:val="single" w:sz="6" w:space="0" w:color="auto"/>
              <w:left w:val="single" w:sz="6" w:space="0" w:color="auto"/>
              <w:bottom w:val="single" w:sz="6" w:space="0" w:color="auto"/>
              <w:right w:val="single" w:sz="6" w:space="0" w:color="auto"/>
            </w:tcBorders>
            <w:vAlign w:val="center"/>
          </w:tcPr>
          <w:p w14:paraId="70364E43" w14:textId="05B63744" w:rsidR="006C6285" w:rsidRPr="001E7E3E" w:rsidRDefault="006C6285" w:rsidP="001E7E3E">
            <w:pPr>
              <w:pStyle w:val="NoSpacing"/>
              <w:rPr>
                <w:rFonts w:eastAsiaTheme="minorHAnsi"/>
                <w:sz w:val="24"/>
              </w:rPr>
            </w:pPr>
            <w:r w:rsidRPr="001E7E3E">
              <w:rPr>
                <w:rFonts w:eastAsiaTheme="minorHAnsi"/>
                <w:sz w:val="24"/>
              </w:rPr>
              <w:t>4</w:t>
            </w:r>
            <w:r w:rsidR="00FF05BC" w:rsidRPr="001E7E3E">
              <w:rPr>
                <w:rFonts w:eastAsiaTheme="minorHAnsi"/>
                <w:sz w:val="24"/>
              </w:rPr>
              <w:t>1</w:t>
            </w:r>
          </w:p>
        </w:tc>
      </w:tr>
      <w:tr w:rsidR="006C6285" w:rsidRPr="001E7E3E" w14:paraId="5CED8B5B"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F4A27DE" w14:textId="77777777" w:rsidR="006C6285" w:rsidRPr="001E7E3E" w:rsidRDefault="006C6285" w:rsidP="001E7E3E">
            <w:pPr>
              <w:pStyle w:val="NoSpacing"/>
              <w:rPr>
                <w:rFonts w:eastAsiaTheme="minorHAnsi"/>
                <w:sz w:val="24"/>
              </w:rPr>
            </w:pPr>
            <w:r w:rsidRPr="001E7E3E">
              <w:rPr>
                <w:rFonts w:eastAsiaTheme="minorHAnsi"/>
                <w:sz w:val="24"/>
              </w:rPr>
              <w:lastRenderedPageBreak/>
              <w:t>FIRST CHANCE CENTER</w:t>
            </w:r>
          </w:p>
        </w:tc>
        <w:tc>
          <w:tcPr>
            <w:tcW w:w="1390" w:type="dxa"/>
            <w:tcBorders>
              <w:top w:val="single" w:sz="6" w:space="0" w:color="auto"/>
              <w:left w:val="single" w:sz="6" w:space="0" w:color="auto"/>
              <w:bottom w:val="single" w:sz="6" w:space="0" w:color="auto"/>
              <w:right w:val="single" w:sz="6" w:space="0" w:color="auto"/>
            </w:tcBorders>
            <w:vAlign w:val="center"/>
          </w:tcPr>
          <w:p w14:paraId="1AE84D63" w14:textId="2FDF1484" w:rsidR="006C6285" w:rsidRPr="001E7E3E" w:rsidRDefault="00FF05BC" w:rsidP="001E7E3E">
            <w:pPr>
              <w:pStyle w:val="NoSpacing"/>
              <w:rPr>
                <w:rFonts w:eastAsiaTheme="minorHAnsi"/>
                <w:sz w:val="24"/>
              </w:rPr>
            </w:pPr>
            <w:r w:rsidRPr="001E7E3E">
              <w:rPr>
                <w:rFonts w:eastAsiaTheme="minorHAnsi"/>
                <w:sz w:val="24"/>
              </w:rPr>
              <w:t>69</w:t>
            </w:r>
          </w:p>
        </w:tc>
      </w:tr>
      <w:tr w:rsidR="006C6285" w:rsidRPr="001E7E3E" w14:paraId="2EA1518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11B60F0" w14:textId="77777777" w:rsidR="006C6285" w:rsidRPr="001E7E3E" w:rsidRDefault="006C6285" w:rsidP="001E7E3E">
            <w:pPr>
              <w:pStyle w:val="NoSpacing"/>
              <w:rPr>
                <w:rFonts w:eastAsiaTheme="minorHAnsi"/>
                <w:sz w:val="24"/>
              </w:rPr>
            </w:pPr>
            <w:r w:rsidRPr="001E7E3E">
              <w:rPr>
                <w:rFonts w:eastAsiaTheme="minorHAnsi"/>
                <w:sz w:val="24"/>
              </w:rPr>
              <w:t>GATEWAY SERVICES</w:t>
            </w:r>
          </w:p>
        </w:tc>
        <w:tc>
          <w:tcPr>
            <w:tcW w:w="1390" w:type="dxa"/>
            <w:tcBorders>
              <w:top w:val="single" w:sz="6" w:space="0" w:color="auto"/>
              <w:left w:val="single" w:sz="6" w:space="0" w:color="auto"/>
              <w:bottom w:val="single" w:sz="6" w:space="0" w:color="auto"/>
              <w:right w:val="single" w:sz="6" w:space="0" w:color="auto"/>
            </w:tcBorders>
            <w:vAlign w:val="center"/>
          </w:tcPr>
          <w:p w14:paraId="5262AD5B" w14:textId="0D44D608" w:rsidR="006C6285" w:rsidRPr="001E7E3E" w:rsidRDefault="006C6285" w:rsidP="001E7E3E">
            <w:pPr>
              <w:pStyle w:val="NoSpacing"/>
              <w:rPr>
                <w:rFonts w:eastAsiaTheme="minorHAnsi"/>
                <w:sz w:val="24"/>
              </w:rPr>
            </w:pPr>
            <w:r w:rsidRPr="001E7E3E">
              <w:rPr>
                <w:rFonts w:eastAsiaTheme="minorHAnsi"/>
                <w:sz w:val="24"/>
              </w:rPr>
              <w:t>1</w:t>
            </w:r>
            <w:r w:rsidR="00FF05BC" w:rsidRPr="001E7E3E">
              <w:rPr>
                <w:rFonts w:eastAsiaTheme="minorHAnsi"/>
                <w:sz w:val="24"/>
              </w:rPr>
              <w:t>30</w:t>
            </w:r>
          </w:p>
        </w:tc>
      </w:tr>
      <w:tr w:rsidR="006C6285" w:rsidRPr="001E7E3E" w14:paraId="1FB76D69"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DC271B9" w14:textId="19D6CB30" w:rsidR="006C6285" w:rsidRPr="001E7E3E" w:rsidRDefault="006C6285" w:rsidP="001E7E3E">
            <w:pPr>
              <w:pStyle w:val="NoSpacing"/>
              <w:rPr>
                <w:rFonts w:eastAsiaTheme="minorHAnsi"/>
                <w:sz w:val="24"/>
              </w:rPr>
            </w:pPr>
            <w:r w:rsidRPr="001E7E3E">
              <w:rPr>
                <w:rFonts w:eastAsiaTheme="minorHAnsi"/>
                <w:sz w:val="24"/>
              </w:rPr>
              <w:t>GIBSON COUNTY AREA REHABILITATION CENTERS, INC.</w:t>
            </w:r>
          </w:p>
        </w:tc>
        <w:tc>
          <w:tcPr>
            <w:tcW w:w="1390" w:type="dxa"/>
            <w:tcBorders>
              <w:top w:val="single" w:sz="6" w:space="0" w:color="auto"/>
              <w:left w:val="single" w:sz="6" w:space="0" w:color="auto"/>
              <w:bottom w:val="single" w:sz="6" w:space="0" w:color="auto"/>
              <w:right w:val="single" w:sz="6" w:space="0" w:color="auto"/>
            </w:tcBorders>
            <w:vAlign w:val="center"/>
          </w:tcPr>
          <w:p w14:paraId="2791CECE" w14:textId="2B145992" w:rsidR="006C6285" w:rsidRPr="001E7E3E" w:rsidRDefault="00FF05BC" w:rsidP="001E7E3E">
            <w:pPr>
              <w:pStyle w:val="NoSpacing"/>
              <w:rPr>
                <w:rFonts w:eastAsiaTheme="minorHAnsi"/>
                <w:sz w:val="24"/>
              </w:rPr>
            </w:pPr>
            <w:r w:rsidRPr="001E7E3E">
              <w:rPr>
                <w:rFonts w:eastAsiaTheme="minorHAnsi"/>
                <w:sz w:val="24"/>
              </w:rPr>
              <w:t>84</w:t>
            </w:r>
          </w:p>
        </w:tc>
      </w:tr>
      <w:tr w:rsidR="006C6285" w:rsidRPr="001E7E3E" w14:paraId="587612F3"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AED0DF0" w14:textId="77777777" w:rsidR="006C6285" w:rsidRPr="001E7E3E" w:rsidRDefault="006C6285" w:rsidP="001E7E3E">
            <w:pPr>
              <w:pStyle w:val="NoSpacing"/>
              <w:rPr>
                <w:rFonts w:eastAsiaTheme="minorHAnsi"/>
                <w:sz w:val="24"/>
              </w:rPr>
            </w:pPr>
            <w:r w:rsidRPr="001E7E3E">
              <w:rPr>
                <w:rFonts w:eastAsiaTheme="minorHAnsi"/>
                <w:sz w:val="24"/>
              </w:rPr>
              <w:t>GLOBE STAR LLC</w:t>
            </w:r>
          </w:p>
        </w:tc>
        <w:tc>
          <w:tcPr>
            <w:tcW w:w="1390" w:type="dxa"/>
            <w:tcBorders>
              <w:top w:val="single" w:sz="6" w:space="0" w:color="auto"/>
              <w:left w:val="single" w:sz="6" w:space="0" w:color="auto"/>
              <w:bottom w:val="single" w:sz="6" w:space="0" w:color="auto"/>
              <w:right w:val="single" w:sz="6" w:space="0" w:color="auto"/>
            </w:tcBorders>
            <w:vAlign w:val="center"/>
          </w:tcPr>
          <w:p w14:paraId="533CA440"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6C90428F"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4C1DD1A" w14:textId="77777777" w:rsidR="006C6285" w:rsidRPr="001E7E3E" w:rsidRDefault="006C6285" w:rsidP="001E7E3E">
            <w:pPr>
              <w:pStyle w:val="NoSpacing"/>
              <w:rPr>
                <w:rFonts w:eastAsiaTheme="minorHAnsi"/>
                <w:sz w:val="24"/>
              </w:rPr>
            </w:pPr>
            <w:r w:rsidRPr="001E7E3E">
              <w:rPr>
                <w:rFonts w:eastAsiaTheme="minorHAnsi"/>
                <w:sz w:val="24"/>
              </w:rPr>
              <w:t>GOODWILL INDUSTRIES OF CENTRAL INDIANA, INC.</w:t>
            </w:r>
          </w:p>
        </w:tc>
        <w:tc>
          <w:tcPr>
            <w:tcW w:w="1390" w:type="dxa"/>
            <w:tcBorders>
              <w:top w:val="single" w:sz="6" w:space="0" w:color="auto"/>
              <w:left w:val="single" w:sz="6" w:space="0" w:color="auto"/>
              <w:bottom w:val="single" w:sz="6" w:space="0" w:color="auto"/>
              <w:right w:val="single" w:sz="6" w:space="0" w:color="auto"/>
            </w:tcBorders>
            <w:vAlign w:val="center"/>
          </w:tcPr>
          <w:p w14:paraId="5C4C0CB4" w14:textId="281E592A" w:rsidR="006C6285" w:rsidRPr="001E7E3E" w:rsidRDefault="003907AB" w:rsidP="001E7E3E">
            <w:pPr>
              <w:pStyle w:val="NoSpacing"/>
              <w:rPr>
                <w:rFonts w:eastAsiaTheme="minorHAnsi"/>
                <w:sz w:val="24"/>
              </w:rPr>
            </w:pPr>
            <w:r w:rsidRPr="001E7E3E">
              <w:rPr>
                <w:rFonts w:eastAsiaTheme="minorHAnsi"/>
                <w:sz w:val="24"/>
              </w:rPr>
              <w:t>0</w:t>
            </w:r>
          </w:p>
        </w:tc>
      </w:tr>
      <w:tr w:rsidR="006C6285" w:rsidRPr="001E7E3E" w14:paraId="1E6E142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5565ABD" w14:textId="77777777" w:rsidR="006C6285" w:rsidRPr="001E7E3E" w:rsidRDefault="006C6285" w:rsidP="001E7E3E">
            <w:pPr>
              <w:pStyle w:val="NoSpacing"/>
              <w:rPr>
                <w:rFonts w:eastAsiaTheme="minorHAnsi"/>
                <w:sz w:val="24"/>
              </w:rPr>
            </w:pPr>
            <w:r w:rsidRPr="001E7E3E">
              <w:rPr>
                <w:rFonts w:eastAsiaTheme="minorHAnsi"/>
                <w:sz w:val="24"/>
              </w:rPr>
              <w:t>GOODWILL INDUSTRIES OF MICHIANA, INC.</w:t>
            </w:r>
          </w:p>
        </w:tc>
        <w:tc>
          <w:tcPr>
            <w:tcW w:w="1390" w:type="dxa"/>
            <w:tcBorders>
              <w:top w:val="single" w:sz="6" w:space="0" w:color="auto"/>
              <w:left w:val="single" w:sz="6" w:space="0" w:color="auto"/>
              <w:bottom w:val="single" w:sz="6" w:space="0" w:color="auto"/>
              <w:right w:val="single" w:sz="6" w:space="0" w:color="auto"/>
            </w:tcBorders>
            <w:vAlign w:val="center"/>
          </w:tcPr>
          <w:p w14:paraId="0CE3E8FE" w14:textId="5DEA7DCE" w:rsidR="006C6285" w:rsidRPr="001E7E3E" w:rsidRDefault="003907AB" w:rsidP="001E7E3E">
            <w:pPr>
              <w:pStyle w:val="NoSpacing"/>
              <w:rPr>
                <w:rFonts w:eastAsiaTheme="minorHAnsi"/>
                <w:sz w:val="24"/>
              </w:rPr>
            </w:pPr>
            <w:r w:rsidRPr="001E7E3E">
              <w:rPr>
                <w:rFonts w:eastAsiaTheme="minorHAnsi"/>
                <w:sz w:val="24"/>
              </w:rPr>
              <w:t>23</w:t>
            </w:r>
          </w:p>
        </w:tc>
      </w:tr>
      <w:tr w:rsidR="006C6285" w:rsidRPr="001E7E3E" w14:paraId="08248D11"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000787F1" w14:textId="77777777" w:rsidR="006C6285" w:rsidRPr="001E7E3E" w:rsidRDefault="006C6285" w:rsidP="001E7E3E">
            <w:pPr>
              <w:pStyle w:val="NoSpacing"/>
              <w:rPr>
                <w:rFonts w:eastAsiaTheme="minorHAnsi"/>
                <w:sz w:val="24"/>
              </w:rPr>
            </w:pPr>
            <w:r w:rsidRPr="001E7E3E">
              <w:rPr>
                <w:rFonts w:eastAsiaTheme="minorHAnsi"/>
                <w:sz w:val="24"/>
              </w:rPr>
              <w:t>GOODWILL INDUSTRIES OF NORTHEAST INDIANA, INC.</w:t>
            </w:r>
          </w:p>
        </w:tc>
        <w:tc>
          <w:tcPr>
            <w:tcW w:w="1390" w:type="dxa"/>
            <w:tcBorders>
              <w:top w:val="single" w:sz="6" w:space="0" w:color="auto"/>
              <w:left w:val="single" w:sz="6" w:space="0" w:color="auto"/>
              <w:bottom w:val="single" w:sz="6" w:space="0" w:color="auto"/>
              <w:right w:val="single" w:sz="6" w:space="0" w:color="auto"/>
            </w:tcBorders>
            <w:vAlign w:val="center"/>
          </w:tcPr>
          <w:p w14:paraId="3BF6DA61" w14:textId="243E252E" w:rsidR="006C6285" w:rsidRPr="001E7E3E" w:rsidRDefault="003907AB" w:rsidP="001E7E3E">
            <w:pPr>
              <w:pStyle w:val="NoSpacing"/>
              <w:rPr>
                <w:rFonts w:eastAsiaTheme="minorHAnsi"/>
                <w:sz w:val="24"/>
              </w:rPr>
            </w:pPr>
            <w:r w:rsidRPr="001E7E3E">
              <w:rPr>
                <w:rFonts w:eastAsiaTheme="minorHAnsi"/>
                <w:sz w:val="24"/>
              </w:rPr>
              <w:t>131</w:t>
            </w:r>
          </w:p>
        </w:tc>
      </w:tr>
      <w:tr w:rsidR="006C6285" w:rsidRPr="001E7E3E" w14:paraId="6801876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D446D69" w14:textId="4DBE686A" w:rsidR="006C6285" w:rsidRPr="001E7E3E" w:rsidRDefault="006C6285" w:rsidP="001E7E3E">
            <w:pPr>
              <w:pStyle w:val="NoSpacing"/>
              <w:rPr>
                <w:rFonts w:eastAsiaTheme="minorHAnsi"/>
                <w:sz w:val="24"/>
              </w:rPr>
            </w:pPr>
            <w:r w:rsidRPr="001E7E3E">
              <w:rPr>
                <w:rFonts w:eastAsiaTheme="minorHAnsi"/>
                <w:sz w:val="24"/>
              </w:rPr>
              <w:t>GOODWILL OF SOUTHERN INDIANA (FORMERLY BRIDGEPOINTE)</w:t>
            </w:r>
          </w:p>
        </w:tc>
        <w:tc>
          <w:tcPr>
            <w:tcW w:w="1390" w:type="dxa"/>
            <w:tcBorders>
              <w:top w:val="single" w:sz="6" w:space="0" w:color="auto"/>
              <w:left w:val="single" w:sz="6" w:space="0" w:color="auto"/>
              <w:bottom w:val="single" w:sz="6" w:space="0" w:color="auto"/>
              <w:right w:val="single" w:sz="6" w:space="0" w:color="auto"/>
            </w:tcBorders>
            <w:vAlign w:val="center"/>
          </w:tcPr>
          <w:p w14:paraId="452643BD"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6087E7C7"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E24E963" w14:textId="77777777" w:rsidR="006C6285" w:rsidRPr="001E7E3E" w:rsidRDefault="006C6285" w:rsidP="001E7E3E">
            <w:pPr>
              <w:pStyle w:val="NoSpacing"/>
              <w:rPr>
                <w:rFonts w:eastAsiaTheme="minorHAnsi"/>
                <w:sz w:val="24"/>
              </w:rPr>
            </w:pPr>
            <w:r w:rsidRPr="001E7E3E">
              <w:rPr>
                <w:rFonts w:eastAsiaTheme="minorHAnsi"/>
                <w:sz w:val="24"/>
              </w:rPr>
              <w:t>HELP THE WORLD FOUNDATION</w:t>
            </w:r>
          </w:p>
        </w:tc>
        <w:tc>
          <w:tcPr>
            <w:tcW w:w="1390" w:type="dxa"/>
            <w:tcBorders>
              <w:top w:val="single" w:sz="6" w:space="0" w:color="auto"/>
              <w:left w:val="single" w:sz="6" w:space="0" w:color="auto"/>
              <w:bottom w:val="single" w:sz="6" w:space="0" w:color="auto"/>
              <w:right w:val="single" w:sz="6" w:space="0" w:color="auto"/>
            </w:tcBorders>
            <w:vAlign w:val="center"/>
          </w:tcPr>
          <w:p w14:paraId="591A49A3" w14:textId="56120CB5" w:rsidR="006C6285" w:rsidRPr="001E7E3E" w:rsidRDefault="003907AB" w:rsidP="001E7E3E">
            <w:pPr>
              <w:pStyle w:val="NoSpacing"/>
              <w:rPr>
                <w:rFonts w:eastAsiaTheme="minorHAnsi"/>
                <w:sz w:val="24"/>
              </w:rPr>
            </w:pPr>
            <w:r w:rsidRPr="001E7E3E">
              <w:rPr>
                <w:rFonts w:eastAsiaTheme="minorHAnsi"/>
                <w:sz w:val="24"/>
              </w:rPr>
              <w:t>0</w:t>
            </w:r>
          </w:p>
        </w:tc>
      </w:tr>
      <w:tr w:rsidR="006C6285" w:rsidRPr="001E7E3E" w14:paraId="6C1512E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8D396E8" w14:textId="77777777" w:rsidR="006C6285" w:rsidRPr="001E7E3E" w:rsidRDefault="006C6285" w:rsidP="001E7E3E">
            <w:pPr>
              <w:pStyle w:val="NoSpacing"/>
              <w:rPr>
                <w:rFonts w:eastAsiaTheme="minorHAnsi"/>
                <w:sz w:val="24"/>
              </w:rPr>
            </w:pPr>
            <w:r w:rsidRPr="001E7E3E">
              <w:rPr>
                <w:rFonts w:eastAsiaTheme="minorHAnsi"/>
                <w:sz w:val="24"/>
              </w:rPr>
              <w:t>HILLCROFT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48512569" w14:textId="5DFAAC61" w:rsidR="006C6285" w:rsidRPr="001E7E3E" w:rsidRDefault="006C6285" w:rsidP="001E7E3E">
            <w:pPr>
              <w:pStyle w:val="NoSpacing"/>
              <w:rPr>
                <w:rFonts w:eastAsiaTheme="minorHAnsi"/>
                <w:sz w:val="24"/>
              </w:rPr>
            </w:pPr>
            <w:r w:rsidRPr="001E7E3E">
              <w:rPr>
                <w:rFonts w:eastAsiaTheme="minorHAnsi"/>
                <w:sz w:val="24"/>
              </w:rPr>
              <w:t>3</w:t>
            </w:r>
            <w:r w:rsidR="003907AB" w:rsidRPr="001E7E3E">
              <w:rPr>
                <w:rFonts w:eastAsiaTheme="minorHAnsi"/>
                <w:sz w:val="24"/>
              </w:rPr>
              <w:t>85</w:t>
            </w:r>
          </w:p>
        </w:tc>
      </w:tr>
      <w:tr w:rsidR="006C6285" w:rsidRPr="001E7E3E" w14:paraId="7E27EEB4"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F82CEA7" w14:textId="77777777" w:rsidR="006C6285" w:rsidRPr="001E7E3E" w:rsidRDefault="006C6285" w:rsidP="001E7E3E">
            <w:pPr>
              <w:pStyle w:val="NoSpacing"/>
              <w:rPr>
                <w:rFonts w:eastAsiaTheme="minorHAnsi"/>
                <w:sz w:val="24"/>
              </w:rPr>
            </w:pPr>
            <w:r w:rsidRPr="001E7E3E">
              <w:rPr>
                <w:rFonts w:eastAsiaTheme="minorHAnsi"/>
                <w:sz w:val="24"/>
              </w:rPr>
              <w:t>HOPEWELL CENTER, INC.</w:t>
            </w:r>
          </w:p>
        </w:tc>
        <w:tc>
          <w:tcPr>
            <w:tcW w:w="1390" w:type="dxa"/>
            <w:tcBorders>
              <w:top w:val="single" w:sz="6" w:space="0" w:color="auto"/>
              <w:left w:val="single" w:sz="6" w:space="0" w:color="auto"/>
              <w:bottom w:val="single" w:sz="6" w:space="0" w:color="auto"/>
              <w:right w:val="single" w:sz="6" w:space="0" w:color="auto"/>
            </w:tcBorders>
            <w:vAlign w:val="center"/>
          </w:tcPr>
          <w:p w14:paraId="583ED96C" w14:textId="452B5BBF" w:rsidR="006C6285" w:rsidRPr="001E7E3E" w:rsidRDefault="003907AB" w:rsidP="001E7E3E">
            <w:pPr>
              <w:pStyle w:val="NoSpacing"/>
              <w:rPr>
                <w:rFonts w:eastAsiaTheme="minorHAnsi"/>
                <w:sz w:val="24"/>
              </w:rPr>
            </w:pPr>
            <w:r w:rsidRPr="001E7E3E">
              <w:rPr>
                <w:rFonts w:eastAsiaTheme="minorHAnsi"/>
                <w:sz w:val="24"/>
              </w:rPr>
              <w:t>189</w:t>
            </w:r>
          </w:p>
        </w:tc>
      </w:tr>
      <w:tr w:rsidR="006C6285" w:rsidRPr="001E7E3E" w14:paraId="3C49F6FC"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CFD73DD" w14:textId="77777777" w:rsidR="006C6285" w:rsidRPr="001E7E3E" w:rsidRDefault="006C6285" w:rsidP="001E7E3E">
            <w:pPr>
              <w:pStyle w:val="NoSpacing"/>
              <w:rPr>
                <w:rFonts w:eastAsiaTheme="minorHAnsi"/>
                <w:sz w:val="24"/>
              </w:rPr>
            </w:pPr>
            <w:r w:rsidRPr="001E7E3E">
              <w:rPr>
                <w:rFonts w:eastAsiaTheme="minorHAnsi"/>
                <w:sz w:val="24"/>
              </w:rPr>
              <w:t>INDIANA MENTOR</w:t>
            </w:r>
          </w:p>
        </w:tc>
        <w:tc>
          <w:tcPr>
            <w:tcW w:w="1390" w:type="dxa"/>
            <w:tcBorders>
              <w:top w:val="single" w:sz="6" w:space="0" w:color="auto"/>
              <w:left w:val="single" w:sz="6" w:space="0" w:color="auto"/>
              <w:bottom w:val="single" w:sz="6" w:space="0" w:color="auto"/>
              <w:right w:val="single" w:sz="6" w:space="0" w:color="auto"/>
            </w:tcBorders>
            <w:vAlign w:val="center"/>
          </w:tcPr>
          <w:p w14:paraId="0252C486"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257742C4"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C950520" w14:textId="77777777" w:rsidR="006C6285" w:rsidRPr="001E7E3E" w:rsidRDefault="006C6285" w:rsidP="001E7E3E">
            <w:pPr>
              <w:pStyle w:val="NoSpacing"/>
              <w:rPr>
                <w:rFonts w:eastAsiaTheme="minorHAnsi"/>
                <w:sz w:val="24"/>
              </w:rPr>
            </w:pPr>
            <w:r w:rsidRPr="001E7E3E">
              <w:rPr>
                <w:rFonts w:eastAsiaTheme="minorHAnsi"/>
                <w:sz w:val="24"/>
              </w:rPr>
              <w:t>IN-PACT, INC.</w:t>
            </w:r>
          </w:p>
        </w:tc>
        <w:tc>
          <w:tcPr>
            <w:tcW w:w="1390" w:type="dxa"/>
            <w:tcBorders>
              <w:top w:val="single" w:sz="6" w:space="0" w:color="auto"/>
              <w:left w:val="single" w:sz="6" w:space="0" w:color="auto"/>
              <w:bottom w:val="single" w:sz="6" w:space="0" w:color="auto"/>
              <w:right w:val="single" w:sz="6" w:space="0" w:color="auto"/>
            </w:tcBorders>
            <w:vAlign w:val="center"/>
          </w:tcPr>
          <w:p w14:paraId="7BF29CD3" w14:textId="17CAF6CC" w:rsidR="006C6285" w:rsidRPr="001E7E3E" w:rsidRDefault="00F30CC0" w:rsidP="001E7E3E">
            <w:pPr>
              <w:pStyle w:val="NoSpacing"/>
              <w:rPr>
                <w:rFonts w:eastAsiaTheme="minorHAnsi"/>
                <w:sz w:val="24"/>
              </w:rPr>
            </w:pPr>
            <w:r w:rsidRPr="001E7E3E">
              <w:rPr>
                <w:rFonts w:eastAsiaTheme="minorHAnsi"/>
                <w:sz w:val="24"/>
              </w:rPr>
              <w:t>6</w:t>
            </w:r>
          </w:p>
        </w:tc>
      </w:tr>
      <w:tr w:rsidR="006C6285" w:rsidRPr="001E7E3E" w14:paraId="44925E0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6B491345" w14:textId="77777777" w:rsidR="006C6285" w:rsidRPr="001E7E3E" w:rsidRDefault="006C6285" w:rsidP="001E7E3E">
            <w:pPr>
              <w:pStyle w:val="NoSpacing"/>
              <w:rPr>
                <w:rFonts w:eastAsiaTheme="minorHAnsi"/>
                <w:sz w:val="24"/>
              </w:rPr>
            </w:pPr>
            <w:r w:rsidRPr="001E7E3E">
              <w:rPr>
                <w:rFonts w:eastAsiaTheme="minorHAnsi"/>
                <w:sz w:val="24"/>
              </w:rPr>
              <w:t>INNOVATIONS IN LEARNING, PC</w:t>
            </w:r>
          </w:p>
        </w:tc>
        <w:tc>
          <w:tcPr>
            <w:tcW w:w="1390" w:type="dxa"/>
            <w:tcBorders>
              <w:top w:val="single" w:sz="6" w:space="0" w:color="auto"/>
              <w:left w:val="single" w:sz="6" w:space="0" w:color="auto"/>
              <w:bottom w:val="single" w:sz="6" w:space="0" w:color="auto"/>
              <w:right w:val="single" w:sz="6" w:space="0" w:color="auto"/>
            </w:tcBorders>
            <w:vAlign w:val="center"/>
          </w:tcPr>
          <w:p w14:paraId="6D753580" w14:textId="799BFA6C" w:rsidR="006C6285" w:rsidRPr="001E7E3E" w:rsidRDefault="006C6285" w:rsidP="001E7E3E">
            <w:pPr>
              <w:pStyle w:val="NoSpacing"/>
              <w:rPr>
                <w:rFonts w:eastAsiaTheme="minorHAnsi"/>
                <w:sz w:val="24"/>
              </w:rPr>
            </w:pPr>
            <w:r w:rsidRPr="001E7E3E">
              <w:rPr>
                <w:rFonts w:eastAsiaTheme="minorHAnsi"/>
                <w:sz w:val="24"/>
              </w:rPr>
              <w:t>9</w:t>
            </w:r>
            <w:r w:rsidR="00F30CC0" w:rsidRPr="001E7E3E">
              <w:rPr>
                <w:rFonts w:eastAsiaTheme="minorHAnsi"/>
                <w:sz w:val="24"/>
              </w:rPr>
              <w:t>9</w:t>
            </w:r>
          </w:p>
        </w:tc>
      </w:tr>
      <w:tr w:rsidR="006C6285" w:rsidRPr="001E7E3E" w14:paraId="79968426"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E2DBCA9" w14:textId="77777777" w:rsidR="006C6285" w:rsidRPr="001E7E3E" w:rsidRDefault="006C6285" w:rsidP="001E7E3E">
            <w:pPr>
              <w:pStyle w:val="NoSpacing"/>
              <w:rPr>
                <w:rFonts w:eastAsiaTheme="minorHAnsi"/>
                <w:sz w:val="24"/>
              </w:rPr>
            </w:pPr>
            <w:r w:rsidRPr="001E7E3E">
              <w:rPr>
                <w:rFonts w:eastAsiaTheme="minorHAnsi"/>
                <w:sz w:val="24"/>
              </w:rPr>
              <w:t>JANUS DEVELOPMENTAL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7BAB66DF" w14:textId="4C02C259" w:rsidR="006C6285" w:rsidRPr="001E7E3E" w:rsidRDefault="00F30CC0" w:rsidP="001E7E3E">
            <w:pPr>
              <w:pStyle w:val="NoSpacing"/>
              <w:rPr>
                <w:rFonts w:eastAsiaTheme="minorHAnsi"/>
                <w:sz w:val="24"/>
              </w:rPr>
            </w:pPr>
            <w:r w:rsidRPr="001E7E3E">
              <w:rPr>
                <w:rFonts w:eastAsiaTheme="minorHAnsi"/>
                <w:sz w:val="24"/>
              </w:rPr>
              <w:t>140</w:t>
            </w:r>
          </w:p>
        </w:tc>
      </w:tr>
      <w:tr w:rsidR="006C6285" w:rsidRPr="001E7E3E" w14:paraId="10F4990B"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E58B1D9" w14:textId="77777777" w:rsidR="006C6285" w:rsidRPr="001E7E3E" w:rsidRDefault="006C6285" w:rsidP="001E7E3E">
            <w:pPr>
              <w:pStyle w:val="NoSpacing"/>
              <w:rPr>
                <w:rFonts w:eastAsiaTheme="minorHAnsi"/>
                <w:sz w:val="24"/>
              </w:rPr>
            </w:pPr>
            <w:r w:rsidRPr="001E7E3E">
              <w:rPr>
                <w:rFonts w:eastAsiaTheme="minorHAnsi"/>
                <w:sz w:val="24"/>
              </w:rPr>
              <w:t>JAY-RANDOLPH DEVELOPMENTAL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4BAB980A" w14:textId="4A076395" w:rsidR="006C6285" w:rsidRPr="001E7E3E" w:rsidRDefault="006C6285" w:rsidP="001E7E3E">
            <w:pPr>
              <w:pStyle w:val="NoSpacing"/>
              <w:rPr>
                <w:rFonts w:eastAsiaTheme="minorHAnsi"/>
                <w:sz w:val="24"/>
              </w:rPr>
            </w:pPr>
            <w:r w:rsidRPr="001E7E3E">
              <w:rPr>
                <w:rFonts w:eastAsiaTheme="minorHAnsi"/>
                <w:sz w:val="24"/>
              </w:rPr>
              <w:t>7</w:t>
            </w:r>
            <w:r w:rsidR="00F30CC0" w:rsidRPr="001E7E3E">
              <w:rPr>
                <w:rFonts w:eastAsiaTheme="minorHAnsi"/>
                <w:sz w:val="24"/>
              </w:rPr>
              <w:t>2</w:t>
            </w:r>
          </w:p>
        </w:tc>
      </w:tr>
      <w:tr w:rsidR="006C6285" w:rsidRPr="001E7E3E" w14:paraId="1C713F7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29FF392" w14:textId="77777777" w:rsidR="006C6285" w:rsidRPr="001E7E3E" w:rsidRDefault="006C6285" w:rsidP="001E7E3E">
            <w:pPr>
              <w:pStyle w:val="NoSpacing"/>
              <w:rPr>
                <w:rFonts w:eastAsiaTheme="minorHAnsi"/>
                <w:sz w:val="24"/>
              </w:rPr>
            </w:pPr>
            <w:r w:rsidRPr="001E7E3E">
              <w:rPr>
                <w:rFonts w:eastAsiaTheme="minorHAnsi"/>
                <w:sz w:val="24"/>
              </w:rPr>
              <w:t>KNOX COUNTY ARC, INC.</w:t>
            </w:r>
          </w:p>
        </w:tc>
        <w:tc>
          <w:tcPr>
            <w:tcW w:w="1390" w:type="dxa"/>
            <w:tcBorders>
              <w:top w:val="single" w:sz="6" w:space="0" w:color="auto"/>
              <w:left w:val="single" w:sz="6" w:space="0" w:color="auto"/>
              <w:bottom w:val="single" w:sz="6" w:space="0" w:color="auto"/>
              <w:right w:val="single" w:sz="6" w:space="0" w:color="auto"/>
            </w:tcBorders>
            <w:vAlign w:val="center"/>
          </w:tcPr>
          <w:p w14:paraId="1D4FE0D6" w14:textId="7C614D5A" w:rsidR="006C6285" w:rsidRPr="001E7E3E" w:rsidRDefault="00F30CC0" w:rsidP="001E7E3E">
            <w:pPr>
              <w:pStyle w:val="NoSpacing"/>
              <w:rPr>
                <w:rFonts w:eastAsiaTheme="minorHAnsi"/>
                <w:sz w:val="24"/>
              </w:rPr>
            </w:pPr>
            <w:r w:rsidRPr="001E7E3E">
              <w:rPr>
                <w:rFonts w:eastAsiaTheme="minorHAnsi"/>
                <w:sz w:val="24"/>
              </w:rPr>
              <w:t>14</w:t>
            </w:r>
          </w:p>
        </w:tc>
      </w:tr>
      <w:tr w:rsidR="006C6285" w:rsidRPr="001E7E3E" w14:paraId="1D93E0C7"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193AC90" w14:textId="603DBDC3" w:rsidR="006C6285" w:rsidRPr="001E7E3E" w:rsidRDefault="006C6285" w:rsidP="001E7E3E">
            <w:pPr>
              <w:pStyle w:val="NoSpacing"/>
              <w:rPr>
                <w:rFonts w:eastAsiaTheme="minorHAnsi"/>
                <w:sz w:val="24"/>
              </w:rPr>
            </w:pPr>
            <w:r w:rsidRPr="001E7E3E">
              <w:rPr>
                <w:rFonts w:eastAsiaTheme="minorHAnsi"/>
                <w:sz w:val="24"/>
              </w:rPr>
              <w:t>LIFEDESIGNS, INC.</w:t>
            </w:r>
          </w:p>
        </w:tc>
        <w:tc>
          <w:tcPr>
            <w:tcW w:w="1390" w:type="dxa"/>
            <w:tcBorders>
              <w:top w:val="single" w:sz="6" w:space="0" w:color="auto"/>
              <w:left w:val="single" w:sz="6" w:space="0" w:color="auto"/>
              <w:bottom w:val="single" w:sz="6" w:space="0" w:color="auto"/>
              <w:right w:val="single" w:sz="6" w:space="0" w:color="auto"/>
            </w:tcBorders>
            <w:vAlign w:val="center"/>
          </w:tcPr>
          <w:p w14:paraId="4950031A" w14:textId="1F0EA01D" w:rsidR="006C6285" w:rsidRPr="001E7E3E" w:rsidRDefault="00F30CC0" w:rsidP="001E7E3E">
            <w:pPr>
              <w:pStyle w:val="NoSpacing"/>
              <w:rPr>
                <w:rFonts w:eastAsiaTheme="minorHAnsi"/>
                <w:sz w:val="24"/>
              </w:rPr>
            </w:pPr>
            <w:r w:rsidRPr="001E7E3E">
              <w:rPr>
                <w:rFonts w:eastAsiaTheme="minorHAnsi"/>
                <w:sz w:val="24"/>
              </w:rPr>
              <w:t>48</w:t>
            </w:r>
          </w:p>
        </w:tc>
      </w:tr>
      <w:tr w:rsidR="006C6285" w:rsidRPr="001E7E3E" w14:paraId="41604F6A"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D22EE16" w14:textId="77777777" w:rsidR="006C6285" w:rsidRPr="001E7E3E" w:rsidRDefault="006C6285" w:rsidP="001E7E3E">
            <w:pPr>
              <w:pStyle w:val="NoSpacing"/>
              <w:rPr>
                <w:rFonts w:eastAsiaTheme="minorHAnsi"/>
                <w:sz w:val="24"/>
              </w:rPr>
            </w:pPr>
            <w:r w:rsidRPr="001E7E3E">
              <w:rPr>
                <w:rFonts w:eastAsiaTheme="minorHAnsi"/>
                <w:sz w:val="24"/>
              </w:rPr>
              <w:t>LOGAN COMMUNITY RESOURCES, INC.</w:t>
            </w:r>
          </w:p>
        </w:tc>
        <w:tc>
          <w:tcPr>
            <w:tcW w:w="1390" w:type="dxa"/>
            <w:tcBorders>
              <w:top w:val="single" w:sz="6" w:space="0" w:color="auto"/>
              <w:left w:val="single" w:sz="6" w:space="0" w:color="auto"/>
              <w:bottom w:val="single" w:sz="6" w:space="0" w:color="auto"/>
              <w:right w:val="single" w:sz="6" w:space="0" w:color="auto"/>
            </w:tcBorders>
            <w:vAlign w:val="center"/>
          </w:tcPr>
          <w:p w14:paraId="501499E2" w14:textId="042A0341" w:rsidR="006C6285" w:rsidRPr="001E7E3E" w:rsidRDefault="008119EC" w:rsidP="001E7E3E">
            <w:pPr>
              <w:pStyle w:val="NoSpacing"/>
              <w:rPr>
                <w:rFonts w:eastAsiaTheme="minorHAnsi"/>
                <w:sz w:val="24"/>
              </w:rPr>
            </w:pPr>
            <w:r w:rsidRPr="001E7E3E">
              <w:rPr>
                <w:rFonts w:eastAsiaTheme="minorHAnsi"/>
                <w:sz w:val="24"/>
              </w:rPr>
              <w:t>400</w:t>
            </w:r>
          </w:p>
        </w:tc>
      </w:tr>
      <w:tr w:rsidR="006C6285" w:rsidRPr="001E7E3E" w14:paraId="7CA45AFF"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6D366F5" w14:textId="77777777" w:rsidR="006C6285" w:rsidRPr="001E7E3E" w:rsidRDefault="006C6285" w:rsidP="001E7E3E">
            <w:pPr>
              <w:pStyle w:val="NoSpacing"/>
              <w:rPr>
                <w:rFonts w:eastAsiaTheme="minorHAnsi"/>
                <w:sz w:val="24"/>
              </w:rPr>
            </w:pPr>
            <w:r w:rsidRPr="001E7E3E">
              <w:rPr>
                <w:rFonts w:eastAsiaTheme="minorHAnsi"/>
                <w:sz w:val="24"/>
              </w:rPr>
              <w:t>MARSHALL-STARKE DEVELOPMENT CENTER, INC.</w:t>
            </w:r>
          </w:p>
        </w:tc>
        <w:tc>
          <w:tcPr>
            <w:tcW w:w="1390" w:type="dxa"/>
            <w:tcBorders>
              <w:top w:val="single" w:sz="6" w:space="0" w:color="auto"/>
              <w:left w:val="single" w:sz="6" w:space="0" w:color="auto"/>
              <w:bottom w:val="single" w:sz="6" w:space="0" w:color="auto"/>
              <w:right w:val="single" w:sz="6" w:space="0" w:color="auto"/>
            </w:tcBorders>
            <w:vAlign w:val="center"/>
          </w:tcPr>
          <w:p w14:paraId="1721897E" w14:textId="77777777" w:rsidR="006C6285" w:rsidRPr="001E7E3E" w:rsidRDefault="006C6285" w:rsidP="001E7E3E">
            <w:pPr>
              <w:pStyle w:val="NoSpacing"/>
              <w:rPr>
                <w:rFonts w:eastAsiaTheme="minorHAnsi"/>
                <w:sz w:val="24"/>
              </w:rPr>
            </w:pPr>
            <w:r w:rsidRPr="001E7E3E">
              <w:rPr>
                <w:rFonts w:eastAsiaTheme="minorHAnsi"/>
                <w:sz w:val="24"/>
              </w:rPr>
              <w:t>159</w:t>
            </w:r>
          </w:p>
        </w:tc>
      </w:tr>
      <w:tr w:rsidR="006C6285" w:rsidRPr="001E7E3E" w14:paraId="2FA020E1"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843D9A1" w14:textId="77777777" w:rsidR="006C6285" w:rsidRPr="001E7E3E" w:rsidRDefault="006C6285" w:rsidP="001E7E3E">
            <w:pPr>
              <w:pStyle w:val="NoSpacing"/>
              <w:rPr>
                <w:rFonts w:eastAsiaTheme="minorHAnsi"/>
                <w:sz w:val="24"/>
              </w:rPr>
            </w:pPr>
            <w:r w:rsidRPr="001E7E3E">
              <w:rPr>
                <w:rFonts w:eastAsiaTheme="minorHAnsi"/>
                <w:sz w:val="24"/>
              </w:rPr>
              <w:t>MEANINGFUL DAY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6E00CC07" w14:textId="3BF052D2" w:rsidR="006C6285" w:rsidRPr="001E7E3E" w:rsidRDefault="008119EC" w:rsidP="001E7E3E">
            <w:pPr>
              <w:pStyle w:val="NoSpacing"/>
              <w:rPr>
                <w:rFonts w:eastAsiaTheme="minorHAnsi"/>
                <w:sz w:val="24"/>
              </w:rPr>
            </w:pPr>
            <w:r w:rsidRPr="001E7E3E">
              <w:rPr>
                <w:rFonts w:eastAsiaTheme="minorHAnsi"/>
                <w:sz w:val="24"/>
              </w:rPr>
              <w:t>58</w:t>
            </w:r>
          </w:p>
        </w:tc>
      </w:tr>
      <w:tr w:rsidR="006C6285" w:rsidRPr="001E7E3E" w14:paraId="6FD02DD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D1A26CA" w14:textId="543D2766" w:rsidR="006C6285" w:rsidRPr="001E7E3E" w:rsidRDefault="006C6285" w:rsidP="001E7E3E">
            <w:pPr>
              <w:pStyle w:val="NoSpacing"/>
              <w:rPr>
                <w:rFonts w:eastAsiaTheme="minorHAnsi"/>
                <w:sz w:val="24"/>
              </w:rPr>
            </w:pPr>
            <w:r w:rsidRPr="001E7E3E">
              <w:rPr>
                <w:rFonts w:eastAsiaTheme="minorHAnsi"/>
                <w:sz w:val="24"/>
              </w:rPr>
              <w:t>MOSAIC</w:t>
            </w:r>
            <w:r w:rsidR="00FD315E" w:rsidRPr="001E7E3E">
              <w:rPr>
                <w:rFonts w:eastAsiaTheme="minorHAnsi"/>
                <w:sz w:val="24"/>
              </w:rPr>
              <w:t>,</w:t>
            </w:r>
            <w:r w:rsidRPr="001E7E3E">
              <w:rPr>
                <w:rFonts w:eastAsiaTheme="minorHAnsi"/>
                <w:sz w:val="24"/>
              </w:rPr>
              <w:t xml:space="preserve"> INC. OF INDIANA</w:t>
            </w:r>
          </w:p>
        </w:tc>
        <w:tc>
          <w:tcPr>
            <w:tcW w:w="1390" w:type="dxa"/>
            <w:tcBorders>
              <w:top w:val="single" w:sz="6" w:space="0" w:color="auto"/>
              <w:left w:val="single" w:sz="6" w:space="0" w:color="auto"/>
              <w:bottom w:val="single" w:sz="6" w:space="0" w:color="auto"/>
              <w:right w:val="single" w:sz="6" w:space="0" w:color="auto"/>
            </w:tcBorders>
            <w:vAlign w:val="center"/>
          </w:tcPr>
          <w:p w14:paraId="5F4EDF0F"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6816E87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07AB64B" w14:textId="77777777" w:rsidR="006C6285" w:rsidRPr="001E7E3E" w:rsidRDefault="006C6285" w:rsidP="001E7E3E">
            <w:pPr>
              <w:pStyle w:val="NoSpacing"/>
              <w:rPr>
                <w:rFonts w:eastAsiaTheme="minorHAnsi"/>
                <w:sz w:val="24"/>
              </w:rPr>
            </w:pPr>
            <w:r w:rsidRPr="001E7E3E">
              <w:rPr>
                <w:rFonts w:eastAsiaTheme="minorHAnsi"/>
                <w:sz w:val="24"/>
              </w:rPr>
              <w:t>NEW HOPE OF INDIANA</w:t>
            </w:r>
          </w:p>
        </w:tc>
        <w:tc>
          <w:tcPr>
            <w:tcW w:w="1390" w:type="dxa"/>
            <w:tcBorders>
              <w:top w:val="single" w:sz="6" w:space="0" w:color="auto"/>
              <w:left w:val="single" w:sz="6" w:space="0" w:color="auto"/>
              <w:bottom w:val="single" w:sz="6" w:space="0" w:color="auto"/>
              <w:right w:val="single" w:sz="6" w:space="0" w:color="auto"/>
            </w:tcBorders>
            <w:vAlign w:val="center"/>
          </w:tcPr>
          <w:p w14:paraId="1EB02F65" w14:textId="672B4094" w:rsidR="006C6285" w:rsidRPr="001E7E3E" w:rsidRDefault="008119EC" w:rsidP="001E7E3E">
            <w:pPr>
              <w:pStyle w:val="NoSpacing"/>
              <w:rPr>
                <w:rFonts w:eastAsiaTheme="minorHAnsi"/>
                <w:sz w:val="24"/>
              </w:rPr>
            </w:pPr>
            <w:r w:rsidRPr="001E7E3E">
              <w:rPr>
                <w:rFonts w:eastAsiaTheme="minorHAnsi"/>
                <w:sz w:val="24"/>
              </w:rPr>
              <w:t>141</w:t>
            </w:r>
          </w:p>
        </w:tc>
      </w:tr>
      <w:tr w:rsidR="006C6285" w:rsidRPr="001E7E3E" w14:paraId="598B8F9D"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1E20975" w14:textId="77777777" w:rsidR="006C6285" w:rsidRPr="001E7E3E" w:rsidRDefault="006C6285" w:rsidP="001E7E3E">
            <w:pPr>
              <w:pStyle w:val="NoSpacing"/>
              <w:rPr>
                <w:rFonts w:eastAsiaTheme="minorHAnsi"/>
                <w:sz w:val="24"/>
              </w:rPr>
            </w:pPr>
            <w:r w:rsidRPr="001E7E3E">
              <w:rPr>
                <w:rFonts w:eastAsiaTheme="minorHAnsi"/>
                <w:sz w:val="24"/>
              </w:rPr>
              <w:t>NEW HOPE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6791A59E" w14:textId="5C1D1E72" w:rsidR="006C6285" w:rsidRPr="001E7E3E" w:rsidRDefault="006C6285" w:rsidP="001E7E3E">
            <w:pPr>
              <w:pStyle w:val="NoSpacing"/>
              <w:rPr>
                <w:rFonts w:eastAsiaTheme="minorHAnsi"/>
                <w:sz w:val="24"/>
              </w:rPr>
            </w:pPr>
            <w:r w:rsidRPr="001E7E3E">
              <w:rPr>
                <w:rFonts w:eastAsiaTheme="minorHAnsi"/>
                <w:sz w:val="24"/>
              </w:rPr>
              <w:t>2</w:t>
            </w:r>
            <w:r w:rsidR="008119EC" w:rsidRPr="001E7E3E">
              <w:rPr>
                <w:rFonts w:eastAsiaTheme="minorHAnsi"/>
                <w:sz w:val="24"/>
              </w:rPr>
              <w:t>40</w:t>
            </w:r>
          </w:p>
        </w:tc>
      </w:tr>
      <w:tr w:rsidR="006C6285" w:rsidRPr="001E7E3E" w14:paraId="071EFC0F"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A11657B" w14:textId="77777777" w:rsidR="006C6285" w:rsidRPr="001E7E3E" w:rsidRDefault="006C6285" w:rsidP="001E7E3E">
            <w:pPr>
              <w:pStyle w:val="NoSpacing"/>
              <w:rPr>
                <w:rFonts w:eastAsiaTheme="minorHAnsi"/>
                <w:sz w:val="24"/>
              </w:rPr>
            </w:pPr>
            <w:r w:rsidRPr="001E7E3E">
              <w:rPr>
                <w:rFonts w:eastAsiaTheme="minorHAnsi"/>
                <w:sz w:val="24"/>
              </w:rPr>
              <w:t>NEW HORIZONS REHABILITATION, INC.</w:t>
            </w:r>
          </w:p>
        </w:tc>
        <w:tc>
          <w:tcPr>
            <w:tcW w:w="1390" w:type="dxa"/>
            <w:tcBorders>
              <w:top w:val="single" w:sz="6" w:space="0" w:color="auto"/>
              <w:left w:val="single" w:sz="6" w:space="0" w:color="auto"/>
              <w:bottom w:val="single" w:sz="6" w:space="0" w:color="auto"/>
              <w:right w:val="single" w:sz="6" w:space="0" w:color="auto"/>
            </w:tcBorders>
            <w:vAlign w:val="center"/>
          </w:tcPr>
          <w:p w14:paraId="686F0BA7" w14:textId="6380084D" w:rsidR="006C6285" w:rsidRPr="001E7E3E" w:rsidRDefault="006C6285" w:rsidP="001E7E3E">
            <w:pPr>
              <w:pStyle w:val="NoSpacing"/>
              <w:rPr>
                <w:rFonts w:eastAsiaTheme="minorHAnsi"/>
                <w:sz w:val="24"/>
              </w:rPr>
            </w:pPr>
            <w:r w:rsidRPr="001E7E3E">
              <w:rPr>
                <w:rFonts w:eastAsiaTheme="minorHAnsi"/>
                <w:sz w:val="24"/>
              </w:rPr>
              <w:t>2</w:t>
            </w:r>
            <w:r w:rsidR="008119EC" w:rsidRPr="001E7E3E">
              <w:rPr>
                <w:rFonts w:eastAsiaTheme="minorHAnsi"/>
                <w:sz w:val="24"/>
              </w:rPr>
              <w:t>04</w:t>
            </w:r>
          </w:p>
        </w:tc>
      </w:tr>
      <w:tr w:rsidR="006C6285" w:rsidRPr="001E7E3E" w14:paraId="511E8664"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AB87EA0" w14:textId="77777777" w:rsidR="006C6285" w:rsidRPr="001E7E3E" w:rsidRDefault="006C6285" w:rsidP="001E7E3E">
            <w:pPr>
              <w:pStyle w:val="NoSpacing"/>
              <w:rPr>
                <w:rFonts w:eastAsiaTheme="minorHAnsi"/>
                <w:sz w:val="24"/>
              </w:rPr>
            </w:pPr>
            <w:r w:rsidRPr="001E7E3E">
              <w:rPr>
                <w:rFonts w:eastAsiaTheme="minorHAnsi"/>
                <w:sz w:val="24"/>
              </w:rPr>
              <w:t>NEW STAR</w:t>
            </w:r>
          </w:p>
        </w:tc>
        <w:tc>
          <w:tcPr>
            <w:tcW w:w="1390" w:type="dxa"/>
            <w:tcBorders>
              <w:top w:val="single" w:sz="6" w:space="0" w:color="auto"/>
              <w:left w:val="single" w:sz="6" w:space="0" w:color="auto"/>
              <w:bottom w:val="single" w:sz="6" w:space="0" w:color="auto"/>
              <w:right w:val="single" w:sz="6" w:space="0" w:color="auto"/>
            </w:tcBorders>
            <w:vAlign w:val="center"/>
          </w:tcPr>
          <w:p w14:paraId="22DE9C4A" w14:textId="3019B15F" w:rsidR="006C6285" w:rsidRPr="001E7E3E" w:rsidRDefault="008119EC" w:rsidP="001E7E3E">
            <w:pPr>
              <w:pStyle w:val="NoSpacing"/>
              <w:rPr>
                <w:rFonts w:eastAsiaTheme="minorHAnsi"/>
                <w:sz w:val="24"/>
              </w:rPr>
            </w:pPr>
            <w:r w:rsidRPr="001E7E3E">
              <w:rPr>
                <w:rFonts w:eastAsiaTheme="minorHAnsi"/>
                <w:sz w:val="24"/>
              </w:rPr>
              <w:t>0</w:t>
            </w:r>
          </w:p>
        </w:tc>
      </w:tr>
      <w:tr w:rsidR="006C6285" w:rsidRPr="001E7E3E" w14:paraId="57DC76CA"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B169D6C" w14:textId="77777777" w:rsidR="006C6285" w:rsidRPr="001E7E3E" w:rsidRDefault="006C6285" w:rsidP="001E7E3E">
            <w:pPr>
              <w:pStyle w:val="NoSpacing"/>
              <w:rPr>
                <w:rFonts w:eastAsiaTheme="minorHAnsi"/>
                <w:sz w:val="24"/>
              </w:rPr>
            </w:pPr>
            <w:r w:rsidRPr="001E7E3E">
              <w:rPr>
                <w:rFonts w:eastAsiaTheme="minorHAnsi"/>
                <w:sz w:val="24"/>
              </w:rPr>
              <w:t>NOBLE OF INDIANA (NOBLE, INC.)</w:t>
            </w:r>
          </w:p>
        </w:tc>
        <w:tc>
          <w:tcPr>
            <w:tcW w:w="1390" w:type="dxa"/>
            <w:tcBorders>
              <w:top w:val="single" w:sz="6" w:space="0" w:color="auto"/>
              <w:left w:val="single" w:sz="6" w:space="0" w:color="auto"/>
              <w:bottom w:val="single" w:sz="6" w:space="0" w:color="auto"/>
              <w:right w:val="single" w:sz="6" w:space="0" w:color="auto"/>
            </w:tcBorders>
            <w:vAlign w:val="center"/>
          </w:tcPr>
          <w:p w14:paraId="4DA1EBB6" w14:textId="2B2BD8B6" w:rsidR="006C6285" w:rsidRPr="001E7E3E" w:rsidRDefault="008119EC" w:rsidP="001E7E3E">
            <w:pPr>
              <w:pStyle w:val="NoSpacing"/>
              <w:rPr>
                <w:rFonts w:eastAsiaTheme="minorHAnsi"/>
                <w:sz w:val="24"/>
              </w:rPr>
            </w:pPr>
            <w:r w:rsidRPr="001E7E3E">
              <w:rPr>
                <w:rFonts w:eastAsiaTheme="minorHAnsi"/>
                <w:sz w:val="24"/>
              </w:rPr>
              <w:t>542</w:t>
            </w:r>
          </w:p>
        </w:tc>
      </w:tr>
      <w:tr w:rsidR="006C6285" w:rsidRPr="001E7E3E" w14:paraId="091BF84A"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FC5FCC6" w14:textId="77777777" w:rsidR="006C6285" w:rsidRPr="001E7E3E" w:rsidRDefault="006C6285" w:rsidP="001E7E3E">
            <w:pPr>
              <w:pStyle w:val="NoSpacing"/>
              <w:rPr>
                <w:rFonts w:eastAsiaTheme="minorHAnsi"/>
                <w:sz w:val="24"/>
              </w:rPr>
            </w:pPr>
            <w:r w:rsidRPr="001E7E3E">
              <w:rPr>
                <w:rFonts w:eastAsiaTheme="minorHAnsi"/>
                <w:sz w:val="24"/>
              </w:rPr>
              <w:t>OPPORTUNITIES FOR POSITIVE GROWTH, INC.</w:t>
            </w:r>
          </w:p>
        </w:tc>
        <w:tc>
          <w:tcPr>
            <w:tcW w:w="1390" w:type="dxa"/>
            <w:tcBorders>
              <w:top w:val="single" w:sz="6" w:space="0" w:color="auto"/>
              <w:left w:val="single" w:sz="6" w:space="0" w:color="auto"/>
              <w:bottom w:val="single" w:sz="6" w:space="0" w:color="auto"/>
              <w:right w:val="single" w:sz="6" w:space="0" w:color="auto"/>
            </w:tcBorders>
            <w:vAlign w:val="center"/>
          </w:tcPr>
          <w:p w14:paraId="297F0628" w14:textId="55275302" w:rsidR="006C6285" w:rsidRPr="001E7E3E" w:rsidRDefault="008119EC" w:rsidP="001E7E3E">
            <w:pPr>
              <w:pStyle w:val="NoSpacing"/>
              <w:rPr>
                <w:rFonts w:eastAsiaTheme="minorHAnsi"/>
                <w:sz w:val="24"/>
              </w:rPr>
            </w:pPr>
            <w:r w:rsidRPr="001E7E3E">
              <w:rPr>
                <w:rFonts w:eastAsiaTheme="minorHAnsi"/>
                <w:sz w:val="24"/>
              </w:rPr>
              <w:t>0</w:t>
            </w:r>
          </w:p>
        </w:tc>
      </w:tr>
      <w:tr w:rsidR="002E7D53" w:rsidRPr="001E7E3E" w14:paraId="23E9C8C0"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6D349693" w14:textId="7D7D3779" w:rsidR="002E7D53" w:rsidRPr="001E7E3E" w:rsidRDefault="002E7D53" w:rsidP="001E7E3E">
            <w:pPr>
              <w:pStyle w:val="NoSpacing"/>
              <w:rPr>
                <w:rFonts w:eastAsiaTheme="minorHAnsi"/>
                <w:sz w:val="24"/>
              </w:rPr>
            </w:pPr>
            <w:r w:rsidRPr="001E7E3E">
              <w:rPr>
                <w:rFonts w:eastAsiaTheme="minorHAnsi"/>
                <w:sz w:val="24"/>
              </w:rPr>
              <w:t>OUTSIDE THE BOX</w:t>
            </w:r>
          </w:p>
        </w:tc>
        <w:tc>
          <w:tcPr>
            <w:tcW w:w="1390" w:type="dxa"/>
            <w:tcBorders>
              <w:top w:val="single" w:sz="6" w:space="0" w:color="auto"/>
              <w:left w:val="single" w:sz="6" w:space="0" w:color="auto"/>
              <w:bottom w:val="single" w:sz="6" w:space="0" w:color="auto"/>
              <w:right w:val="single" w:sz="6" w:space="0" w:color="auto"/>
            </w:tcBorders>
            <w:vAlign w:val="center"/>
          </w:tcPr>
          <w:p w14:paraId="15817ECA" w14:textId="47C62613" w:rsidR="002E7D53" w:rsidRPr="001E7E3E" w:rsidRDefault="002E7D53" w:rsidP="001E7E3E">
            <w:pPr>
              <w:pStyle w:val="NoSpacing"/>
              <w:rPr>
                <w:rFonts w:eastAsiaTheme="minorHAnsi"/>
                <w:sz w:val="24"/>
              </w:rPr>
            </w:pPr>
            <w:r w:rsidRPr="001E7E3E">
              <w:rPr>
                <w:rFonts w:eastAsiaTheme="minorHAnsi"/>
                <w:sz w:val="24"/>
              </w:rPr>
              <w:t>0</w:t>
            </w:r>
          </w:p>
        </w:tc>
      </w:tr>
      <w:tr w:rsidR="006C6285" w:rsidRPr="001E7E3E" w14:paraId="30F5AD56"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110D480" w14:textId="77777777" w:rsidR="006C6285" w:rsidRPr="001E7E3E" w:rsidRDefault="006C6285" w:rsidP="001E7E3E">
            <w:pPr>
              <w:pStyle w:val="NoSpacing"/>
              <w:rPr>
                <w:rFonts w:eastAsiaTheme="minorHAnsi"/>
                <w:sz w:val="24"/>
              </w:rPr>
            </w:pPr>
            <w:r w:rsidRPr="001E7E3E">
              <w:rPr>
                <w:rFonts w:eastAsiaTheme="minorHAnsi"/>
                <w:sz w:val="24"/>
              </w:rPr>
              <w:t>OPPORTUNITY ENTERPRISES, INC.</w:t>
            </w:r>
          </w:p>
        </w:tc>
        <w:tc>
          <w:tcPr>
            <w:tcW w:w="1390" w:type="dxa"/>
            <w:tcBorders>
              <w:top w:val="single" w:sz="6" w:space="0" w:color="auto"/>
              <w:left w:val="single" w:sz="6" w:space="0" w:color="auto"/>
              <w:bottom w:val="single" w:sz="6" w:space="0" w:color="auto"/>
              <w:right w:val="single" w:sz="6" w:space="0" w:color="auto"/>
            </w:tcBorders>
            <w:vAlign w:val="center"/>
          </w:tcPr>
          <w:p w14:paraId="4DB4ED05" w14:textId="7313E710" w:rsidR="006C6285" w:rsidRPr="001E7E3E" w:rsidRDefault="008119EC" w:rsidP="001E7E3E">
            <w:pPr>
              <w:pStyle w:val="NoSpacing"/>
              <w:rPr>
                <w:rFonts w:eastAsiaTheme="minorHAnsi"/>
                <w:sz w:val="24"/>
              </w:rPr>
            </w:pPr>
            <w:r w:rsidRPr="001E7E3E">
              <w:rPr>
                <w:rFonts w:eastAsiaTheme="minorHAnsi"/>
                <w:sz w:val="24"/>
              </w:rPr>
              <w:t>420</w:t>
            </w:r>
          </w:p>
        </w:tc>
      </w:tr>
      <w:tr w:rsidR="006C6285" w:rsidRPr="001E7E3E" w14:paraId="74DABA7B"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C0791E2" w14:textId="77777777" w:rsidR="006C6285" w:rsidRPr="001E7E3E" w:rsidRDefault="006C6285" w:rsidP="001E7E3E">
            <w:pPr>
              <w:pStyle w:val="NoSpacing"/>
              <w:rPr>
                <w:rFonts w:eastAsiaTheme="minorHAnsi"/>
                <w:sz w:val="24"/>
              </w:rPr>
            </w:pPr>
            <w:r w:rsidRPr="001E7E3E">
              <w:rPr>
                <w:rFonts w:eastAsiaTheme="minorHAnsi"/>
                <w:sz w:val="24"/>
              </w:rPr>
              <w:lastRenderedPageBreak/>
              <w:t>PALADIN (AKA MICHIANA RESOURCES)</w:t>
            </w:r>
          </w:p>
        </w:tc>
        <w:tc>
          <w:tcPr>
            <w:tcW w:w="1390" w:type="dxa"/>
            <w:tcBorders>
              <w:top w:val="single" w:sz="6" w:space="0" w:color="auto"/>
              <w:left w:val="single" w:sz="6" w:space="0" w:color="auto"/>
              <w:bottom w:val="single" w:sz="6" w:space="0" w:color="auto"/>
              <w:right w:val="single" w:sz="6" w:space="0" w:color="auto"/>
            </w:tcBorders>
            <w:vAlign w:val="center"/>
          </w:tcPr>
          <w:p w14:paraId="29747C8B" w14:textId="77777777" w:rsidR="006C6285" w:rsidRPr="001E7E3E" w:rsidRDefault="006C6285" w:rsidP="001E7E3E">
            <w:pPr>
              <w:pStyle w:val="NoSpacing"/>
              <w:rPr>
                <w:rFonts w:eastAsiaTheme="minorHAnsi"/>
                <w:sz w:val="24"/>
              </w:rPr>
            </w:pPr>
            <w:r w:rsidRPr="001E7E3E">
              <w:rPr>
                <w:rFonts w:eastAsiaTheme="minorHAnsi"/>
                <w:sz w:val="24"/>
              </w:rPr>
              <w:t>151</w:t>
            </w:r>
          </w:p>
        </w:tc>
      </w:tr>
      <w:tr w:rsidR="006C6285" w:rsidRPr="001E7E3E" w14:paraId="2380AFB0"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063106A9" w14:textId="77777777" w:rsidR="006C6285" w:rsidRPr="001E7E3E" w:rsidRDefault="006C6285" w:rsidP="001E7E3E">
            <w:pPr>
              <w:pStyle w:val="NoSpacing"/>
              <w:rPr>
                <w:rFonts w:eastAsiaTheme="minorHAnsi"/>
                <w:sz w:val="24"/>
              </w:rPr>
            </w:pPr>
            <w:r w:rsidRPr="001E7E3E">
              <w:rPr>
                <w:rFonts w:eastAsiaTheme="minorHAnsi"/>
                <w:sz w:val="24"/>
              </w:rPr>
              <w:t>PARTNERS IN AUTISM</w:t>
            </w:r>
          </w:p>
        </w:tc>
        <w:tc>
          <w:tcPr>
            <w:tcW w:w="1390" w:type="dxa"/>
            <w:tcBorders>
              <w:top w:val="single" w:sz="6" w:space="0" w:color="auto"/>
              <w:left w:val="single" w:sz="6" w:space="0" w:color="auto"/>
              <w:bottom w:val="single" w:sz="6" w:space="0" w:color="auto"/>
              <w:right w:val="single" w:sz="6" w:space="0" w:color="auto"/>
            </w:tcBorders>
            <w:vAlign w:val="center"/>
          </w:tcPr>
          <w:p w14:paraId="21D92C2E" w14:textId="3445635F" w:rsidR="006C6285" w:rsidRPr="001E7E3E" w:rsidRDefault="008119EC" w:rsidP="001E7E3E">
            <w:pPr>
              <w:pStyle w:val="NoSpacing"/>
              <w:rPr>
                <w:rFonts w:eastAsiaTheme="minorHAnsi"/>
                <w:sz w:val="24"/>
              </w:rPr>
            </w:pPr>
            <w:r w:rsidRPr="001E7E3E">
              <w:rPr>
                <w:rFonts w:eastAsiaTheme="minorHAnsi"/>
                <w:sz w:val="24"/>
              </w:rPr>
              <w:t>49</w:t>
            </w:r>
          </w:p>
        </w:tc>
      </w:tr>
      <w:tr w:rsidR="006C6285" w:rsidRPr="001E7E3E" w14:paraId="196C9AF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AE0B7A6" w14:textId="77777777" w:rsidR="006C6285" w:rsidRPr="001E7E3E" w:rsidRDefault="006C6285" w:rsidP="001E7E3E">
            <w:pPr>
              <w:pStyle w:val="NoSpacing"/>
              <w:rPr>
                <w:rFonts w:eastAsiaTheme="minorHAnsi"/>
                <w:sz w:val="24"/>
              </w:rPr>
            </w:pPr>
            <w:r w:rsidRPr="001E7E3E">
              <w:rPr>
                <w:rFonts w:eastAsiaTheme="minorHAnsi"/>
                <w:sz w:val="24"/>
              </w:rPr>
              <w:t>PARTNERS IN OPPORTUNITIES, INC.</w:t>
            </w:r>
          </w:p>
        </w:tc>
        <w:tc>
          <w:tcPr>
            <w:tcW w:w="1390" w:type="dxa"/>
            <w:tcBorders>
              <w:top w:val="single" w:sz="6" w:space="0" w:color="auto"/>
              <w:left w:val="single" w:sz="6" w:space="0" w:color="auto"/>
              <w:bottom w:val="single" w:sz="6" w:space="0" w:color="auto"/>
              <w:right w:val="single" w:sz="6" w:space="0" w:color="auto"/>
            </w:tcBorders>
            <w:vAlign w:val="center"/>
          </w:tcPr>
          <w:p w14:paraId="39F2246F" w14:textId="1BA73D48" w:rsidR="006C6285" w:rsidRPr="001E7E3E" w:rsidRDefault="006C6285" w:rsidP="001E7E3E">
            <w:pPr>
              <w:pStyle w:val="NoSpacing"/>
              <w:rPr>
                <w:rFonts w:eastAsiaTheme="minorHAnsi"/>
                <w:sz w:val="24"/>
              </w:rPr>
            </w:pPr>
            <w:r w:rsidRPr="001E7E3E">
              <w:rPr>
                <w:rFonts w:eastAsiaTheme="minorHAnsi"/>
                <w:sz w:val="24"/>
              </w:rPr>
              <w:t>3</w:t>
            </w:r>
            <w:r w:rsidR="008119EC" w:rsidRPr="001E7E3E">
              <w:rPr>
                <w:rFonts w:eastAsiaTheme="minorHAnsi"/>
                <w:sz w:val="24"/>
              </w:rPr>
              <w:t>2</w:t>
            </w:r>
          </w:p>
        </w:tc>
      </w:tr>
      <w:tr w:rsidR="006C6285" w:rsidRPr="001E7E3E" w14:paraId="4B77F9B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6815A4E" w14:textId="77777777" w:rsidR="006C6285" w:rsidRPr="001E7E3E" w:rsidRDefault="006C6285" w:rsidP="001E7E3E">
            <w:pPr>
              <w:pStyle w:val="NoSpacing"/>
              <w:rPr>
                <w:rFonts w:eastAsiaTheme="minorHAnsi"/>
                <w:sz w:val="24"/>
              </w:rPr>
            </w:pPr>
            <w:r w:rsidRPr="001E7E3E">
              <w:rPr>
                <w:rFonts w:eastAsiaTheme="minorHAnsi"/>
                <w:sz w:val="24"/>
              </w:rPr>
              <w:t>PASSAGES, INC.</w:t>
            </w:r>
          </w:p>
        </w:tc>
        <w:tc>
          <w:tcPr>
            <w:tcW w:w="1390" w:type="dxa"/>
            <w:tcBorders>
              <w:top w:val="single" w:sz="6" w:space="0" w:color="auto"/>
              <w:left w:val="single" w:sz="6" w:space="0" w:color="auto"/>
              <w:bottom w:val="single" w:sz="6" w:space="0" w:color="auto"/>
              <w:right w:val="single" w:sz="6" w:space="0" w:color="auto"/>
            </w:tcBorders>
            <w:vAlign w:val="center"/>
          </w:tcPr>
          <w:p w14:paraId="5B72501B" w14:textId="24143E2D" w:rsidR="006C6285" w:rsidRPr="001E7E3E" w:rsidRDefault="006C6285" w:rsidP="001E7E3E">
            <w:pPr>
              <w:pStyle w:val="NoSpacing"/>
              <w:rPr>
                <w:rFonts w:eastAsiaTheme="minorHAnsi"/>
                <w:sz w:val="24"/>
              </w:rPr>
            </w:pPr>
            <w:r w:rsidRPr="001E7E3E">
              <w:rPr>
                <w:rFonts w:eastAsiaTheme="minorHAnsi"/>
                <w:sz w:val="24"/>
              </w:rPr>
              <w:t>8</w:t>
            </w:r>
            <w:r w:rsidR="008119EC" w:rsidRPr="001E7E3E">
              <w:rPr>
                <w:rFonts w:eastAsiaTheme="minorHAnsi"/>
                <w:sz w:val="24"/>
              </w:rPr>
              <w:t>2</w:t>
            </w:r>
          </w:p>
        </w:tc>
      </w:tr>
      <w:tr w:rsidR="006C6285" w:rsidRPr="001E7E3E" w14:paraId="7959A2CA"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4B2EBFE" w14:textId="77777777" w:rsidR="006C6285" w:rsidRPr="001E7E3E" w:rsidRDefault="006C6285" w:rsidP="001E7E3E">
            <w:pPr>
              <w:pStyle w:val="NoSpacing"/>
              <w:rPr>
                <w:rFonts w:eastAsiaTheme="minorHAnsi"/>
                <w:sz w:val="24"/>
              </w:rPr>
            </w:pPr>
            <w:r w:rsidRPr="001E7E3E">
              <w:rPr>
                <w:rFonts w:eastAsiaTheme="minorHAnsi"/>
                <w:sz w:val="24"/>
              </w:rPr>
              <w:t>PATHFINDER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6F14504E" w14:textId="41995C32" w:rsidR="006C6285" w:rsidRPr="001E7E3E" w:rsidRDefault="008119EC" w:rsidP="001E7E3E">
            <w:pPr>
              <w:pStyle w:val="NoSpacing"/>
              <w:rPr>
                <w:rFonts w:eastAsiaTheme="minorHAnsi"/>
                <w:sz w:val="24"/>
              </w:rPr>
            </w:pPr>
            <w:r w:rsidRPr="001E7E3E">
              <w:rPr>
                <w:rFonts w:eastAsiaTheme="minorHAnsi"/>
                <w:sz w:val="24"/>
              </w:rPr>
              <w:t>271</w:t>
            </w:r>
          </w:p>
        </w:tc>
      </w:tr>
      <w:tr w:rsidR="006C6285" w:rsidRPr="001E7E3E" w14:paraId="3C4F2186"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EC7134B" w14:textId="77777777" w:rsidR="006C6285" w:rsidRPr="001E7E3E" w:rsidRDefault="006C6285" w:rsidP="001E7E3E">
            <w:pPr>
              <w:pStyle w:val="NoSpacing"/>
              <w:rPr>
                <w:rFonts w:eastAsiaTheme="minorHAnsi"/>
                <w:sz w:val="24"/>
              </w:rPr>
            </w:pPr>
            <w:r w:rsidRPr="001E7E3E">
              <w:rPr>
                <w:rFonts w:eastAsiaTheme="minorHAnsi"/>
                <w:sz w:val="24"/>
              </w:rPr>
              <w:t>PEAK COMMUNITY SERVICES</w:t>
            </w:r>
          </w:p>
        </w:tc>
        <w:tc>
          <w:tcPr>
            <w:tcW w:w="1390" w:type="dxa"/>
            <w:tcBorders>
              <w:top w:val="single" w:sz="6" w:space="0" w:color="auto"/>
              <w:left w:val="single" w:sz="6" w:space="0" w:color="auto"/>
              <w:bottom w:val="single" w:sz="6" w:space="0" w:color="auto"/>
              <w:right w:val="single" w:sz="6" w:space="0" w:color="auto"/>
            </w:tcBorders>
            <w:vAlign w:val="center"/>
          </w:tcPr>
          <w:p w14:paraId="363C2473" w14:textId="6865D189" w:rsidR="006C6285" w:rsidRPr="001E7E3E" w:rsidRDefault="008119EC" w:rsidP="001E7E3E">
            <w:pPr>
              <w:pStyle w:val="NoSpacing"/>
              <w:rPr>
                <w:rFonts w:eastAsiaTheme="minorHAnsi"/>
                <w:sz w:val="24"/>
              </w:rPr>
            </w:pPr>
            <w:r w:rsidRPr="001E7E3E">
              <w:rPr>
                <w:rFonts w:eastAsiaTheme="minorHAnsi"/>
                <w:sz w:val="24"/>
              </w:rPr>
              <w:t>22</w:t>
            </w:r>
          </w:p>
        </w:tc>
      </w:tr>
      <w:tr w:rsidR="006C6285" w:rsidRPr="001E7E3E" w14:paraId="2D44A5CA"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2C5F20A" w14:textId="77777777" w:rsidR="006C6285" w:rsidRPr="001E7E3E" w:rsidRDefault="006C6285" w:rsidP="001E7E3E">
            <w:pPr>
              <w:pStyle w:val="NoSpacing"/>
              <w:rPr>
                <w:rFonts w:eastAsiaTheme="minorHAnsi"/>
                <w:sz w:val="24"/>
              </w:rPr>
            </w:pPr>
            <w:r w:rsidRPr="001E7E3E">
              <w:rPr>
                <w:rFonts w:eastAsiaTheme="minorHAnsi"/>
                <w:sz w:val="24"/>
              </w:rPr>
              <w:t>PLANTING POSSIBILITIES</w:t>
            </w:r>
          </w:p>
        </w:tc>
        <w:tc>
          <w:tcPr>
            <w:tcW w:w="1390" w:type="dxa"/>
            <w:tcBorders>
              <w:top w:val="single" w:sz="6" w:space="0" w:color="auto"/>
              <w:left w:val="single" w:sz="6" w:space="0" w:color="auto"/>
              <w:bottom w:val="single" w:sz="6" w:space="0" w:color="auto"/>
              <w:right w:val="single" w:sz="6" w:space="0" w:color="auto"/>
            </w:tcBorders>
            <w:vAlign w:val="center"/>
          </w:tcPr>
          <w:p w14:paraId="3EE333BD" w14:textId="55AFB643" w:rsidR="006C6285" w:rsidRPr="001E7E3E" w:rsidRDefault="008119EC" w:rsidP="001E7E3E">
            <w:pPr>
              <w:pStyle w:val="NoSpacing"/>
              <w:rPr>
                <w:rFonts w:eastAsiaTheme="minorHAnsi"/>
                <w:sz w:val="24"/>
              </w:rPr>
            </w:pPr>
            <w:r w:rsidRPr="001E7E3E">
              <w:rPr>
                <w:rFonts w:eastAsiaTheme="minorHAnsi"/>
                <w:sz w:val="24"/>
              </w:rPr>
              <w:t>0</w:t>
            </w:r>
          </w:p>
        </w:tc>
      </w:tr>
      <w:tr w:rsidR="006C6285" w:rsidRPr="001E7E3E" w14:paraId="7BB367F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D98FED7" w14:textId="77777777" w:rsidR="006C6285" w:rsidRPr="001E7E3E" w:rsidRDefault="006C6285" w:rsidP="001E7E3E">
            <w:pPr>
              <w:pStyle w:val="NoSpacing"/>
              <w:rPr>
                <w:rFonts w:eastAsiaTheme="minorHAnsi"/>
                <w:sz w:val="24"/>
              </w:rPr>
            </w:pPr>
            <w:r w:rsidRPr="001E7E3E">
              <w:rPr>
                <w:rFonts w:eastAsiaTheme="minorHAnsi"/>
                <w:sz w:val="24"/>
              </w:rPr>
              <w:t>POSEY COUNTY REHABILITATION SERVICES</w:t>
            </w:r>
          </w:p>
        </w:tc>
        <w:tc>
          <w:tcPr>
            <w:tcW w:w="1390" w:type="dxa"/>
            <w:tcBorders>
              <w:top w:val="single" w:sz="6" w:space="0" w:color="auto"/>
              <w:left w:val="single" w:sz="6" w:space="0" w:color="auto"/>
              <w:bottom w:val="single" w:sz="6" w:space="0" w:color="auto"/>
              <w:right w:val="single" w:sz="6" w:space="0" w:color="auto"/>
            </w:tcBorders>
            <w:vAlign w:val="center"/>
          </w:tcPr>
          <w:p w14:paraId="31754A62" w14:textId="302982B4" w:rsidR="006C6285" w:rsidRPr="001E7E3E" w:rsidRDefault="008119EC" w:rsidP="001E7E3E">
            <w:pPr>
              <w:pStyle w:val="NoSpacing"/>
              <w:rPr>
                <w:rFonts w:eastAsiaTheme="minorHAnsi"/>
                <w:sz w:val="24"/>
              </w:rPr>
            </w:pPr>
            <w:r w:rsidRPr="001E7E3E">
              <w:rPr>
                <w:rFonts w:eastAsiaTheme="minorHAnsi"/>
                <w:sz w:val="24"/>
              </w:rPr>
              <w:t>70</w:t>
            </w:r>
          </w:p>
        </w:tc>
      </w:tr>
      <w:tr w:rsidR="006C6285" w:rsidRPr="001E7E3E" w14:paraId="2F0B337B"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CA965AC" w14:textId="77777777" w:rsidR="006C6285" w:rsidRPr="001E7E3E" w:rsidRDefault="006C6285" w:rsidP="001E7E3E">
            <w:pPr>
              <w:pStyle w:val="NoSpacing"/>
              <w:rPr>
                <w:rFonts w:eastAsiaTheme="minorHAnsi"/>
                <w:sz w:val="24"/>
              </w:rPr>
            </w:pPr>
            <w:r w:rsidRPr="001E7E3E">
              <w:rPr>
                <w:rFonts w:eastAsiaTheme="minorHAnsi"/>
                <w:sz w:val="24"/>
              </w:rPr>
              <w:t>PRAIRE QUEST, INC</w:t>
            </w:r>
          </w:p>
        </w:tc>
        <w:tc>
          <w:tcPr>
            <w:tcW w:w="1390" w:type="dxa"/>
            <w:tcBorders>
              <w:top w:val="single" w:sz="6" w:space="0" w:color="auto"/>
              <w:left w:val="single" w:sz="6" w:space="0" w:color="auto"/>
              <w:bottom w:val="single" w:sz="6" w:space="0" w:color="auto"/>
              <w:right w:val="single" w:sz="6" w:space="0" w:color="auto"/>
            </w:tcBorders>
            <w:vAlign w:val="center"/>
          </w:tcPr>
          <w:p w14:paraId="79AE4E9F"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242BA2F6"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BC2CA20" w14:textId="77777777" w:rsidR="006C6285" w:rsidRPr="001E7E3E" w:rsidRDefault="006C6285" w:rsidP="001E7E3E">
            <w:pPr>
              <w:pStyle w:val="NoSpacing"/>
              <w:rPr>
                <w:rFonts w:eastAsiaTheme="minorHAnsi"/>
                <w:sz w:val="24"/>
              </w:rPr>
            </w:pPr>
            <w:r w:rsidRPr="001E7E3E">
              <w:rPr>
                <w:rFonts w:eastAsiaTheme="minorHAnsi"/>
                <w:sz w:val="24"/>
              </w:rPr>
              <w:t>PUTNAM COUNTY COMPREHENSIVE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5AD122A9" w14:textId="70CD8ED9" w:rsidR="006C6285" w:rsidRPr="001E7E3E" w:rsidRDefault="008119EC" w:rsidP="001E7E3E">
            <w:pPr>
              <w:pStyle w:val="NoSpacing"/>
              <w:rPr>
                <w:rFonts w:eastAsiaTheme="minorHAnsi"/>
                <w:sz w:val="24"/>
              </w:rPr>
            </w:pPr>
            <w:r w:rsidRPr="001E7E3E">
              <w:rPr>
                <w:rFonts w:eastAsiaTheme="minorHAnsi"/>
                <w:sz w:val="24"/>
              </w:rPr>
              <w:t>205</w:t>
            </w:r>
          </w:p>
        </w:tc>
      </w:tr>
      <w:tr w:rsidR="006C6285" w:rsidRPr="001E7E3E" w14:paraId="176DAACC"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9176A9E" w14:textId="77777777" w:rsidR="006C6285" w:rsidRPr="001E7E3E" w:rsidRDefault="006C6285" w:rsidP="001E7E3E">
            <w:pPr>
              <w:pStyle w:val="NoSpacing"/>
              <w:rPr>
                <w:rFonts w:eastAsiaTheme="minorHAnsi"/>
                <w:sz w:val="24"/>
              </w:rPr>
            </w:pPr>
            <w:r w:rsidRPr="001E7E3E">
              <w:rPr>
                <w:rFonts w:eastAsiaTheme="minorHAnsi"/>
                <w:sz w:val="24"/>
              </w:rPr>
              <w:t>QUALITY COMMUNITY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52621287" w14:textId="60846132" w:rsidR="006C6285" w:rsidRPr="001E7E3E" w:rsidRDefault="007F68B7" w:rsidP="001E7E3E">
            <w:pPr>
              <w:pStyle w:val="NoSpacing"/>
              <w:rPr>
                <w:rFonts w:eastAsiaTheme="minorHAnsi"/>
                <w:sz w:val="24"/>
              </w:rPr>
            </w:pPr>
            <w:r w:rsidRPr="001E7E3E">
              <w:rPr>
                <w:rFonts w:eastAsiaTheme="minorHAnsi"/>
                <w:sz w:val="24"/>
              </w:rPr>
              <w:t>0</w:t>
            </w:r>
          </w:p>
        </w:tc>
      </w:tr>
      <w:tr w:rsidR="006C6285" w:rsidRPr="001E7E3E" w14:paraId="081DB64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653E2135" w14:textId="77777777" w:rsidR="006C6285" w:rsidRPr="001E7E3E" w:rsidRDefault="006C6285" w:rsidP="001E7E3E">
            <w:pPr>
              <w:pStyle w:val="NoSpacing"/>
              <w:rPr>
                <w:rFonts w:eastAsiaTheme="minorHAnsi"/>
                <w:sz w:val="24"/>
              </w:rPr>
            </w:pPr>
            <w:r w:rsidRPr="001E7E3E">
              <w:rPr>
                <w:rFonts w:eastAsiaTheme="minorHAnsi"/>
                <w:sz w:val="24"/>
              </w:rPr>
              <w:t>RAUCH, INC.</w:t>
            </w:r>
          </w:p>
        </w:tc>
        <w:tc>
          <w:tcPr>
            <w:tcW w:w="1390" w:type="dxa"/>
            <w:tcBorders>
              <w:top w:val="single" w:sz="6" w:space="0" w:color="auto"/>
              <w:left w:val="single" w:sz="6" w:space="0" w:color="auto"/>
              <w:bottom w:val="single" w:sz="6" w:space="0" w:color="auto"/>
              <w:right w:val="single" w:sz="6" w:space="0" w:color="auto"/>
            </w:tcBorders>
            <w:vAlign w:val="center"/>
          </w:tcPr>
          <w:p w14:paraId="1B8CEAF0" w14:textId="0CC42A8E" w:rsidR="006C6285" w:rsidRPr="001E7E3E" w:rsidRDefault="007F68B7" w:rsidP="001E7E3E">
            <w:pPr>
              <w:pStyle w:val="NoSpacing"/>
              <w:rPr>
                <w:rFonts w:eastAsiaTheme="minorHAnsi"/>
                <w:sz w:val="24"/>
              </w:rPr>
            </w:pPr>
            <w:r w:rsidRPr="001E7E3E">
              <w:rPr>
                <w:rFonts w:eastAsiaTheme="minorHAnsi"/>
                <w:sz w:val="24"/>
              </w:rPr>
              <w:t>56</w:t>
            </w:r>
          </w:p>
        </w:tc>
      </w:tr>
      <w:tr w:rsidR="006C6285" w:rsidRPr="001E7E3E" w14:paraId="4D0168D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BB53A96" w14:textId="77777777" w:rsidR="006C6285" w:rsidRPr="001E7E3E" w:rsidRDefault="006C6285" w:rsidP="001E7E3E">
            <w:pPr>
              <w:pStyle w:val="NoSpacing"/>
              <w:rPr>
                <w:rFonts w:eastAsiaTheme="minorHAnsi"/>
                <w:sz w:val="24"/>
              </w:rPr>
            </w:pPr>
            <w:r w:rsidRPr="001E7E3E">
              <w:rPr>
                <w:rFonts w:eastAsiaTheme="minorHAnsi"/>
                <w:sz w:val="24"/>
              </w:rPr>
              <w:t>RISE, INC.</w:t>
            </w:r>
          </w:p>
        </w:tc>
        <w:tc>
          <w:tcPr>
            <w:tcW w:w="1390" w:type="dxa"/>
            <w:tcBorders>
              <w:top w:val="single" w:sz="6" w:space="0" w:color="auto"/>
              <w:left w:val="single" w:sz="6" w:space="0" w:color="auto"/>
              <w:bottom w:val="single" w:sz="6" w:space="0" w:color="auto"/>
              <w:right w:val="single" w:sz="6" w:space="0" w:color="auto"/>
            </w:tcBorders>
            <w:vAlign w:val="center"/>
          </w:tcPr>
          <w:p w14:paraId="5295844D" w14:textId="32990A80" w:rsidR="006C6285" w:rsidRPr="001E7E3E" w:rsidRDefault="006C6285" w:rsidP="001E7E3E">
            <w:pPr>
              <w:pStyle w:val="NoSpacing"/>
              <w:rPr>
                <w:rFonts w:eastAsiaTheme="minorHAnsi"/>
                <w:sz w:val="24"/>
              </w:rPr>
            </w:pPr>
            <w:r w:rsidRPr="001E7E3E">
              <w:rPr>
                <w:rFonts w:eastAsiaTheme="minorHAnsi"/>
                <w:sz w:val="24"/>
              </w:rPr>
              <w:t>12</w:t>
            </w:r>
            <w:r w:rsidR="007F68B7" w:rsidRPr="001E7E3E">
              <w:rPr>
                <w:rFonts w:eastAsiaTheme="minorHAnsi"/>
                <w:sz w:val="24"/>
              </w:rPr>
              <w:t>8</w:t>
            </w:r>
          </w:p>
        </w:tc>
      </w:tr>
      <w:tr w:rsidR="006C6285" w:rsidRPr="001E7E3E" w14:paraId="70E990B0"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A1F1AE1" w14:textId="77777777" w:rsidR="006C6285" w:rsidRPr="001E7E3E" w:rsidRDefault="006C6285" w:rsidP="001E7E3E">
            <w:pPr>
              <w:pStyle w:val="NoSpacing"/>
              <w:rPr>
                <w:rFonts w:eastAsiaTheme="minorHAnsi"/>
                <w:sz w:val="24"/>
              </w:rPr>
            </w:pPr>
            <w:r w:rsidRPr="001E7E3E">
              <w:rPr>
                <w:rFonts w:eastAsiaTheme="minorHAnsi"/>
                <w:sz w:val="24"/>
              </w:rPr>
              <w:t>RIVER VALLEY RESOURCES, INC.</w:t>
            </w:r>
          </w:p>
        </w:tc>
        <w:tc>
          <w:tcPr>
            <w:tcW w:w="1390" w:type="dxa"/>
            <w:tcBorders>
              <w:top w:val="single" w:sz="6" w:space="0" w:color="auto"/>
              <w:left w:val="single" w:sz="6" w:space="0" w:color="auto"/>
              <w:bottom w:val="single" w:sz="6" w:space="0" w:color="auto"/>
              <w:right w:val="single" w:sz="6" w:space="0" w:color="auto"/>
            </w:tcBorders>
            <w:vAlign w:val="center"/>
          </w:tcPr>
          <w:p w14:paraId="2656F45E"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4AC9BE5C"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B60A846" w14:textId="77777777" w:rsidR="006C6285" w:rsidRPr="001E7E3E" w:rsidRDefault="006C6285" w:rsidP="001E7E3E">
            <w:pPr>
              <w:pStyle w:val="NoSpacing"/>
              <w:rPr>
                <w:rFonts w:eastAsiaTheme="minorHAnsi"/>
                <w:sz w:val="24"/>
              </w:rPr>
            </w:pPr>
            <w:r w:rsidRPr="001E7E3E">
              <w:rPr>
                <w:rFonts w:eastAsiaTheme="minorHAnsi"/>
                <w:sz w:val="24"/>
              </w:rPr>
              <w:t>SHARES, INC.</w:t>
            </w:r>
          </w:p>
        </w:tc>
        <w:tc>
          <w:tcPr>
            <w:tcW w:w="1390" w:type="dxa"/>
            <w:tcBorders>
              <w:top w:val="single" w:sz="6" w:space="0" w:color="auto"/>
              <w:left w:val="single" w:sz="6" w:space="0" w:color="auto"/>
              <w:bottom w:val="single" w:sz="6" w:space="0" w:color="auto"/>
              <w:right w:val="single" w:sz="6" w:space="0" w:color="auto"/>
            </w:tcBorders>
            <w:vAlign w:val="center"/>
          </w:tcPr>
          <w:p w14:paraId="5624547A" w14:textId="30579D7E" w:rsidR="006C6285" w:rsidRPr="001E7E3E" w:rsidRDefault="006C6285" w:rsidP="001E7E3E">
            <w:pPr>
              <w:pStyle w:val="NoSpacing"/>
              <w:rPr>
                <w:rFonts w:eastAsiaTheme="minorHAnsi"/>
                <w:sz w:val="24"/>
              </w:rPr>
            </w:pPr>
            <w:r w:rsidRPr="001E7E3E">
              <w:rPr>
                <w:rFonts w:eastAsiaTheme="minorHAnsi"/>
                <w:sz w:val="24"/>
              </w:rPr>
              <w:t>2</w:t>
            </w:r>
            <w:r w:rsidR="007F68B7" w:rsidRPr="001E7E3E">
              <w:rPr>
                <w:rFonts w:eastAsiaTheme="minorHAnsi"/>
                <w:sz w:val="24"/>
              </w:rPr>
              <w:t>37</w:t>
            </w:r>
          </w:p>
        </w:tc>
      </w:tr>
      <w:tr w:rsidR="006C6285" w:rsidRPr="001E7E3E" w14:paraId="5F01B3E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3898BACB" w14:textId="77777777" w:rsidR="006C6285" w:rsidRPr="001E7E3E" w:rsidRDefault="006C6285" w:rsidP="001E7E3E">
            <w:pPr>
              <w:pStyle w:val="NoSpacing"/>
              <w:rPr>
                <w:rFonts w:eastAsiaTheme="minorHAnsi"/>
                <w:sz w:val="24"/>
              </w:rPr>
            </w:pPr>
            <w:r w:rsidRPr="001E7E3E">
              <w:rPr>
                <w:rFonts w:eastAsiaTheme="minorHAnsi"/>
                <w:sz w:val="24"/>
              </w:rPr>
              <w:t>SIRS, INC.</w:t>
            </w:r>
          </w:p>
        </w:tc>
        <w:tc>
          <w:tcPr>
            <w:tcW w:w="1390" w:type="dxa"/>
            <w:tcBorders>
              <w:top w:val="single" w:sz="6" w:space="0" w:color="auto"/>
              <w:left w:val="single" w:sz="6" w:space="0" w:color="auto"/>
              <w:bottom w:val="single" w:sz="6" w:space="0" w:color="auto"/>
              <w:right w:val="single" w:sz="6" w:space="0" w:color="auto"/>
            </w:tcBorders>
            <w:vAlign w:val="center"/>
          </w:tcPr>
          <w:p w14:paraId="5642E2C0" w14:textId="77777777" w:rsidR="006C6285" w:rsidRPr="001E7E3E" w:rsidRDefault="006C6285" w:rsidP="001E7E3E">
            <w:pPr>
              <w:pStyle w:val="NoSpacing"/>
              <w:rPr>
                <w:rFonts w:eastAsiaTheme="minorHAnsi"/>
                <w:sz w:val="24"/>
              </w:rPr>
            </w:pPr>
            <w:r w:rsidRPr="001E7E3E">
              <w:rPr>
                <w:rFonts w:eastAsiaTheme="minorHAnsi"/>
                <w:sz w:val="24"/>
              </w:rPr>
              <w:t>231</w:t>
            </w:r>
          </w:p>
        </w:tc>
      </w:tr>
      <w:tr w:rsidR="006C6285" w:rsidRPr="001E7E3E" w14:paraId="1B010424"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F5F315B" w14:textId="77777777" w:rsidR="006C6285" w:rsidRPr="001E7E3E" w:rsidRDefault="006C6285" w:rsidP="001E7E3E">
            <w:pPr>
              <w:pStyle w:val="NoSpacing"/>
              <w:rPr>
                <w:rFonts w:eastAsiaTheme="minorHAnsi"/>
                <w:sz w:val="24"/>
              </w:rPr>
            </w:pPr>
            <w:r w:rsidRPr="001E7E3E">
              <w:rPr>
                <w:rFonts w:eastAsiaTheme="minorHAnsi"/>
                <w:sz w:val="24"/>
              </w:rPr>
              <w:t>SKY POINT SOCIAL SERVICES</w:t>
            </w:r>
          </w:p>
        </w:tc>
        <w:tc>
          <w:tcPr>
            <w:tcW w:w="1390" w:type="dxa"/>
            <w:tcBorders>
              <w:top w:val="single" w:sz="6" w:space="0" w:color="auto"/>
              <w:left w:val="single" w:sz="6" w:space="0" w:color="auto"/>
              <w:bottom w:val="single" w:sz="6" w:space="0" w:color="auto"/>
              <w:right w:val="single" w:sz="6" w:space="0" w:color="auto"/>
            </w:tcBorders>
            <w:vAlign w:val="center"/>
          </w:tcPr>
          <w:p w14:paraId="61F54FBE"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0F12CC42"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1108A3EF" w14:textId="77777777" w:rsidR="006C6285" w:rsidRPr="001E7E3E" w:rsidRDefault="006C6285" w:rsidP="001E7E3E">
            <w:pPr>
              <w:pStyle w:val="NoSpacing"/>
              <w:rPr>
                <w:rFonts w:eastAsiaTheme="minorHAnsi"/>
                <w:sz w:val="24"/>
              </w:rPr>
            </w:pPr>
            <w:r w:rsidRPr="001E7E3E">
              <w:rPr>
                <w:rFonts w:eastAsiaTheme="minorHAnsi"/>
                <w:sz w:val="24"/>
              </w:rPr>
              <w:t>STARLINE COMMUNITY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1385CCE9" w14:textId="77777777" w:rsidR="006C6285" w:rsidRPr="001E7E3E" w:rsidRDefault="006C6285" w:rsidP="001E7E3E">
            <w:pPr>
              <w:pStyle w:val="NoSpacing"/>
              <w:rPr>
                <w:rFonts w:eastAsiaTheme="minorHAnsi"/>
                <w:sz w:val="24"/>
              </w:rPr>
            </w:pPr>
            <w:r w:rsidRPr="001E7E3E">
              <w:rPr>
                <w:rFonts w:eastAsiaTheme="minorHAnsi"/>
                <w:sz w:val="24"/>
              </w:rPr>
              <w:t>4</w:t>
            </w:r>
          </w:p>
        </w:tc>
      </w:tr>
      <w:tr w:rsidR="006C6285" w:rsidRPr="001E7E3E" w14:paraId="3CA3E747"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F32A9A3" w14:textId="77777777" w:rsidR="006C6285" w:rsidRPr="001E7E3E" w:rsidRDefault="006C6285" w:rsidP="001E7E3E">
            <w:pPr>
              <w:pStyle w:val="NoSpacing"/>
              <w:rPr>
                <w:rFonts w:eastAsiaTheme="minorHAnsi"/>
                <w:sz w:val="24"/>
              </w:rPr>
            </w:pPr>
            <w:r w:rsidRPr="001E7E3E">
              <w:rPr>
                <w:rFonts w:eastAsiaTheme="minorHAnsi"/>
                <w:sz w:val="24"/>
              </w:rPr>
              <w:t>STONE BELT ARC, INC.</w:t>
            </w:r>
          </w:p>
        </w:tc>
        <w:tc>
          <w:tcPr>
            <w:tcW w:w="1390" w:type="dxa"/>
            <w:tcBorders>
              <w:top w:val="single" w:sz="6" w:space="0" w:color="auto"/>
              <w:left w:val="single" w:sz="6" w:space="0" w:color="auto"/>
              <w:bottom w:val="single" w:sz="6" w:space="0" w:color="auto"/>
              <w:right w:val="single" w:sz="6" w:space="0" w:color="auto"/>
            </w:tcBorders>
            <w:vAlign w:val="center"/>
          </w:tcPr>
          <w:p w14:paraId="35A2ABC1" w14:textId="256AF4A6" w:rsidR="006C6285" w:rsidRPr="001E7E3E" w:rsidRDefault="006C6285" w:rsidP="001E7E3E">
            <w:pPr>
              <w:pStyle w:val="NoSpacing"/>
              <w:rPr>
                <w:rFonts w:eastAsiaTheme="minorHAnsi"/>
                <w:sz w:val="24"/>
              </w:rPr>
            </w:pPr>
            <w:r w:rsidRPr="001E7E3E">
              <w:rPr>
                <w:rFonts w:eastAsiaTheme="minorHAnsi"/>
                <w:sz w:val="24"/>
              </w:rPr>
              <w:t>4</w:t>
            </w:r>
            <w:r w:rsidR="007F68B7" w:rsidRPr="001E7E3E">
              <w:rPr>
                <w:rFonts w:eastAsiaTheme="minorHAnsi"/>
                <w:sz w:val="24"/>
              </w:rPr>
              <w:t>28</w:t>
            </w:r>
          </w:p>
        </w:tc>
      </w:tr>
      <w:tr w:rsidR="006C6285" w:rsidRPr="001E7E3E" w14:paraId="1B990AA7"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76EC524D" w14:textId="77777777" w:rsidR="006C6285" w:rsidRPr="001E7E3E" w:rsidRDefault="006C6285" w:rsidP="001E7E3E">
            <w:pPr>
              <w:pStyle w:val="NoSpacing"/>
              <w:rPr>
                <w:rFonts w:eastAsiaTheme="minorHAnsi"/>
                <w:sz w:val="24"/>
              </w:rPr>
            </w:pPr>
            <w:r w:rsidRPr="001E7E3E">
              <w:rPr>
                <w:rFonts w:eastAsiaTheme="minorHAnsi"/>
                <w:sz w:val="24"/>
              </w:rPr>
              <w:t>SWEET OWEN INDUSTRIES ARC</w:t>
            </w:r>
          </w:p>
        </w:tc>
        <w:tc>
          <w:tcPr>
            <w:tcW w:w="1390" w:type="dxa"/>
            <w:tcBorders>
              <w:top w:val="single" w:sz="6" w:space="0" w:color="auto"/>
              <w:left w:val="single" w:sz="6" w:space="0" w:color="auto"/>
              <w:bottom w:val="single" w:sz="6" w:space="0" w:color="auto"/>
              <w:right w:val="single" w:sz="6" w:space="0" w:color="auto"/>
            </w:tcBorders>
            <w:vAlign w:val="center"/>
          </w:tcPr>
          <w:p w14:paraId="631E4710"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0C21E8D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93A7A57" w14:textId="77777777" w:rsidR="006C6285" w:rsidRPr="001E7E3E" w:rsidRDefault="006C6285" w:rsidP="001E7E3E">
            <w:pPr>
              <w:pStyle w:val="NoSpacing"/>
              <w:rPr>
                <w:rFonts w:eastAsiaTheme="minorHAnsi"/>
                <w:sz w:val="24"/>
              </w:rPr>
            </w:pPr>
            <w:r w:rsidRPr="001E7E3E">
              <w:rPr>
                <w:rFonts w:eastAsiaTheme="minorHAnsi"/>
                <w:sz w:val="24"/>
              </w:rPr>
              <w:t>SYCAMORE REHABILITATION SERVICES/HENDRICKS CO. ARC, INC.</w:t>
            </w:r>
          </w:p>
        </w:tc>
        <w:tc>
          <w:tcPr>
            <w:tcW w:w="1390" w:type="dxa"/>
            <w:tcBorders>
              <w:top w:val="single" w:sz="6" w:space="0" w:color="auto"/>
              <w:left w:val="single" w:sz="6" w:space="0" w:color="auto"/>
              <w:bottom w:val="single" w:sz="6" w:space="0" w:color="auto"/>
              <w:right w:val="single" w:sz="6" w:space="0" w:color="auto"/>
            </w:tcBorders>
            <w:vAlign w:val="center"/>
          </w:tcPr>
          <w:p w14:paraId="337434FF" w14:textId="4D5AF714" w:rsidR="006C6285" w:rsidRPr="001E7E3E" w:rsidRDefault="007F68B7" w:rsidP="001E7E3E">
            <w:pPr>
              <w:pStyle w:val="NoSpacing"/>
              <w:rPr>
                <w:rFonts w:eastAsiaTheme="minorHAnsi"/>
                <w:sz w:val="24"/>
              </w:rPr>
            </w:pPr>
            <w:r w:rsidRPr="001E7E3E">
              <w:rPr>
                <w:rFonts w:eastAsiaTheme="minorHAnsi"/>
                <w:sz w:val="24"/>
              </w:rPr>
              <w:t>272</w:t>
            </w:r>
          </w:p>
        </w:tc>
      </w:tr>
      <w:tr w:rsidR="006C6285" w:rsidRPr="001E7E3E" w14:paraId="532FC28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0BEF320B" w14:textId="77777777" w:rsidR="006C6285" w:rsidRPr="001E7E3E" w:rsidRDefault="006C6285" w:rsidP="001E7E3E">
            <w:pPr>
              <w:pStyle w:val="NoSpacing"/>
              <w:rPr>
                <w:rFonts w:eastAsiaTheme="minorHAnsi"/>
                <w:sz w:val="24"/>
              </w:rPr>
            </w:pPr>
            <w:r w:rsidRPr="001E7E3E">
              <w:rPr>
                <w:rFonts w:eastAsiaTheme="minorHAnsi"/>
                <w:sz w:val="24"/>
              </w:rPr>
              <w:t>TANGRAM</w:t>
            </w:r>
          </w:p>
        </w:tc>
        <w:tc>
          <w:tcPr>
            <w:tcW w:w="1390" w:type="dxa"/>
            <w:tcBorders>
              <w:top w:val="single" w:sz="6" w:space="0" w:color="auto"/>
              <w:left w:val="single" w:sz="6" w:space="0" w:color="auto"/>
              <w:bottom w:val="single" w:sz="6" w:space="0" w:color="auto"/>
              <w:right w:val="single" w:sz="6" w:space="0" w:color="auto"/>
            </w:tcBorders>
            <w:vAlign w:val="center"/>
          </w:tcPr>
          <w:p w14:paraId="725F759B" w14:textId="10B4D0AD" w:rsidR="006C6285" w:rsidRPr="001E7E3E" w:rsidRDefault="007F68B7" w:rsidP="001E7E3E">
            <w:pPr>
              <w:pStyle w:val="NoSpacing"/>
              <w:rPr>
                <w:rFonts w:eastAsiaTheme="minorHAnsi"/>
                <w:sz w:val="24"/>
              </w:rPr>
            </w:pPr>
            <w:r w:rsidRPr="001E7E3E">
              <w:rPr>
                <w:rFonts w:eastAsiaTheme="minorHAnsi"/>
                <w:sz w:val="24"/>
              </w:rPr>
              <w:t>85</w:t>
            </w:r>
          </w:p>
        </w:tc>
      </w:tr>
      <w:tr w:rsidR="006C6285" w:rsidRPr="001E7E3E" w14:paraId="15DF1A1D"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6A47962D" w14:textId="3BA5CD10" w:rsidR="006C6285" w:rsidRPr="001E7E3E" w:rsidRDefault="006C6285" w:rsidP="001E7E3E">
            <w:pPr>
              <w:pStyle w:val="NoSpacing"/>
              <w:rPr>
                <w:rFonts w:eastAsiaTheme="minorHAnsi"/>
                <w:sz w:val="24"/>
              </w:rPr>
            </w:pPr>
            <w:r w:rsidRPr="001E7E3E">
              <w:rPr>
                <w:rFonts w:eastAsiaTheme="minorHAnsi"/>
                <w:sz w:val="24"/>
              </w:rPr>
              <w:t>THE ARC NOBLE COUNTY FOUNDATIONS</w:t>
            </w:r>
          </w:p>
        </w:tc>
        <w:tc>
          <w:tcPr>
            <w:tcW w:w="1390" w:type="dxa"/>
            <w:tcBorders>
              <w:top w:val="single" w:sz="6" w:space="0" w:color="auto"/>
              <w:left w:val="single" w:sz="6" w:space="0" w:color="auto"/>
              <w:bottom w:val="single" w:sz="6" w:space="0" w:color="auto"/>
              <w:right w:val="single" w:sz="6" w:space="0" w:color="auto"/>
            </w:tcBorders>
            <w:vAlign w:val="center"/>
          </w:tcPr>
          <w:p w14:paraId="57593F52" w14:textId="1D9583DC" w:rsidR="006C6285" w:rsidRPr="001E7E3E" w:rsidRDefault="007F68B7" w:rsidP="001E7E3E">
            <w:pPr>
              <w:pStyle w:val="NoSpacing"/>
              <w:rPr>
                <w:rFonts w:eastAsiaTheme="minorHAnsi"/>
                <w:sz w:val="24"/>
              </w:rPr>
            </w:pPr>
            <w:r w:rsidRPr="001E7E3E">
              <w:rPr>
                <w:rFonts w:eastAsiaTheme="minorHAnsi"/>
                <w:sz w:val="24"/>
              </w:rPr>
              <w:t>64</w:t>
            </w:r>
          </w:p>
        </w:tc>
      </w:tr>
      <w:tr w:rsidR="007F68B7" w:rsidRPr="001E7E3E" w14:paraId="1A54F15E"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766ADF3" w14:textId="1ED98618" w:rsidR="007F68B7" w:rsidRPr="001E7E3E" w:rsidRDefault="007F68B7" w:rsidP="001E7E3E">
            <w:pPr>
              <w:pStyle w:val="NoSpacing"/>
              <w:rPr>
                <w:rFonts w:eastAsiaTheme="minorHAnsi"/>
                <w:sz w:val="24"/>
              </w:rPr>
            </w:pPr>
            <w:r w:rsidRPr="001E7E3E">
              <w:rPr>
                <w:rFonts w:eastAsiaTheme="minorHAnsi"/>
                <w:sz w:val="24"/>
              </w:rPr>
              <w:t>THE ARC OF PIKE COUNTY</w:t>
            </w:r>
          </w:p>
        </w:tc>
        <w:tc>
          <w:tcPr>
            <w:tcW w:w="1390" w:type="dxa"/>
            <w:tcBorders>
              <w:top w:val="single" w:sz="6" w:space="0" w:color="auto"/>
              <w:left w:val="single" w:sz="6" w:space="0" w:color="auto"/>
              <w:bottom w:val="single" w:sz="6" w:space="0" w:color="auto"/>
              <w:right w:val="single" w:sz="6" w:space="0" w:color="auto"/>
            </w:tcBorders>
            <w:vAlign w:val="center"/>
          </w:tcPr>
          <w:p w14:paraId="292C0F55" w14:textId="284357C7" w:rsidR="007F68B7" w:rsidRPr="001E7E3E" w:rsidRDefault="007F68B7" w:rsidP="001E7E3E">
            <w:pPr>
              <w:pStyle w:val="NoSpacing"/>
              <w:rPr>
                <w:rFonts w:eastAsiaTheme="minorHAnsi"/>
                <w:sz w:val="24"/>
              </w:rPr>
            </w:pPr>
            <w:r w:rsidRPr="001E7E3E">
              <w:rPr>
                <w:rFonts w:eastAsiaTheme="minorHAnsi"/>
                <w:sz w:val="24"/>
              </w:rPr>
              <w:t>48</w:t>
            </w:r>
          </w:p>
        </w:tc>
      </w:tr>
      <w:tr w:rsidR="006C6285" w:rsidRPr="001E7E3E" w14:paraId="5CEA9976"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2AF97E89" w14:textId="77777777" w:rsidR="006C6285" w:rsidRPr="001E7E3E" w:rsidRDefault="006C6285" w:rsidP="001E7E3E">
            <w:pPr>
              <w:pStyle w:val="NoSpacing"/>
              <w:rPr>
                <w:rFonts w:eastAsiaTheme="minorHAnsi"/>
                <w:sz w:val="24"/>
              </w:rPr>
            </w:pPr>
            <w:r w:rsidRPr="001E7E3E">
              <w:rPr>
                <w:rFonts w:eastAsiaTheme="minorHAnsi"/>
                <w:sz w:val="24"/>
              </w:rPr>
              <w:t>TRADEWINDS SERVICES, INC.</w:t>
            </w:r>
          </w:p>
        </w:tc>
        <w:tc>
          <w:tcPr>
            <w:tcW w:w="1390" w:type="dxa"/>
            <w:tcBorders>
              <w:top w:val="single" w:sz="6" w:space="0" w:color="auto"/>
              <w:left w:val="single" w:sz="6" w:space="0" w:color="auto"/>
              <w:bottom w:val="single" w:sz="6" w:space="0" w:color="auto"/>
              <w:right w:val="single" w:sz="6" w:space="0" w:color="auto"/>
            </w:tcBorders>
            <w:vAlign w:val="center"/>
          </w:tcPr>
          <w:p w14:paraId="407829DB" w14:textId="669EA855" w:rsidR="006C6285" w:rsidRPr="001E7E3E" w:rsidRDefault="007F68B7" w:rsidP="001E7E3E">
            <w:pPr>
              <w:pStyle w:val="NoSpacing"/>
              <w:rPr>
                <w:rFonts w:eastAsiaTheme="minorHAnsi"/>
                <w:sz w:val="24"/>
              </w:rPr>
            </w:pPr>
            <w:r w:rsidRPr="001E7E3E">
              <w:rPr>
                <w:rFonts w:eastAsiaTheme="minorHAnsi"/>
                <w:sz w:val="24"/>
              </w:rPr>
              <w:t>282</w:t>
            </w:r>
          </w:p>
        </w:tc>
      </w:tr>
      <w:tr w:rsidR="006C6285" w:rsidRPr="001E7E3E" w14:paraId="4DDAD4E5"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4DB3079F" w14:textId="77777777" w:rsidR="006C6285" w:rsidRPr="001E7E3E" w:rsidRDefault="006C6285" w:rsidP="001E7E3E">
            <w:pPr>
              <w:pStyle w:val="NoSpacing"/>
              <w:rPr>
                <w:rFonts w:eastAsiaTheme="minorHAnsi"/>
                <w:sz w:val="24"/>
              </w:rPr>
            </w:pPr>
            <w:r w:rsidRPr="001E7E3E">
              <w:rPr>
                <w:rFonts w:eastAsiaTheme="minorHAnsi"/>
                <w:sz w:val="24"/>
              </w:rPr>
              <w:t>VOLUNTEERS OF AMERICA MID-STATES</w:t>
            </w:r>
          </w:p>
        </w:tc>
        <w:tc>
          <w:tcPr>
            <w:tcW w:w="1390" w:type="dxa"/>
            <w:tcBorders>
              <w:top w:val="single" w:sz="6" w:space="0" w:color="auto"/>
              <w:left w:val="single" w:sz="6" w:space="0" w:color="auto"/>
              <w:bottom w:val="single" w:sz="6" w:space="0" w:color="auto"/>
              <w:right w:val="single" w:sz="6" w:space="0" w:color="auto"/>
            </w:tcBorders>
            <w:vAlign w:val="center"/>
          </w:tcPr>
          <w:p w14:paraId="68382B1D" w14:textId="77777777" w:rsidR="006C6285" w:rsidRPr="001E7E3E" w:rsidRDefault="006C6285" w:rsidP="001E7E3E">
            <w:pPr>
              <w:pStyle w:val="NoSpacing"/>
              <w:rPr>
                <w:rFonts w:eastAsiaTheme="minorHAnsi"/>
                <w:sz w:val="24"/>
              </w:rPr>
            </w:pPr>
            <w:r w:rsidRPr="001E7E3E">
              <w:rPr>
                <w:rFonts w:eastAsiaTheme="minorHAnsi"/>
                <w:sz w:val="24"/>
              </w:rPr>
              <w:t>0</w:t>
            </w:r>
          </w:p>
        </w:tc>
      </w:tr>
      <w:tr w:rsidR="006C6285" w:rsidRPr="001E7E3E" w14:paraId="7C290C00" w14:textId="77777777" w:rsidTr="001E7E3E">
        <w:trPr>
          <w:trHeight w:val="20"/>
        </w:trPr>
        <w:tc>
          <w:tcPr>
            <w:tcW w:w="8130" w:type="dxa"/>
            <w:tcBorders>
              <w:top w:val="single" w:sz="6" w:space="0" w:color="auto"/>
              <w:left w:val="single" w:sz="6" w:space="0" w:color="auto"/>
              <w:bottom w:val="single" w:sz="6" w:space="0" w:color="auto"/>
              <w:right w:val="single" w:sz="6" w:space="0" w:color="auto"/>
            </w:tcBorders>
            <w:vAlign w:val="center"/>
          </w:tcPr>
          <w:p w14:paraId="5F263B78" w14:textId="77777777" w:rsidR="006C6285" w:rsidRPr="001E7E3E" w:rsidRDefault="006C6285" w:rsidP="001E7E3E">
            <w:pPr>
              <w:pStyle w:val="NoSpacing"/>
              <w:rPr>
                <w:rFonts w:eastAsiaTheme="minorHAnsi"/>
                <w:sz w:val="24"/>
              </w:rPr>
            </w:pPr>
            <w:r w:rsidRPr="001E7E3E">
              <w:rPr>
                <w:rFonts w:eastAsiaTheme="minorHAnsi"/>
                <w:sz w:val="24"/>
              </w:rPr>
              <w:t>WABASH CENTER, INC.</w:t>
            </w:r>
          </w:p>
        </w:tc>
        <w:tc>
          <w:tcPr>
            <w:tcW w:w="1390" w:type="dxa"/>
            <w:tcBorders>
              <w:top w:val="single" w:sz="6" w:space="0" w:color="auto"/>
              <w:left w:val="single" w:sz="6" w:space="0" w:color="auto"/>
              <w:bottom w:val="single" w:sz="6" w:space="0" w:color="auto"/>
              <w:right w:val="single" w:sz="6" w:space="0" w:color="auto"/>
            </w:tcBorders>
            <w:vAlign w:val="center"/>
          </w:tcPr>
          <w:p w14:paraId="58C4421C" w14:textId="04F017ED" w:rsidR="006C6285" w:rsidRPr="001E7E3E" w:rsidRDefault="007F68B7" w:rsidP="001E7E3E">
            <w:pPr>
              <w:pStyle w:val="NoSpacing"/>
              <w:rPr>
                <w:rFonts w:eastAsiaTheme="minorHAnsi"/>
                <w:sz w:val="24"/>
              </w:rPr>
            </w:pPr>
            <w:r w:rsidRPr="001E7E3E">
              <w:rPr>
                <w:rFonts w:eastAsiaTheme="minorHAnsi"/>
                <w:sz w:val="24"/>
              </w:rPr>
              <w:t>241</w:t>
            </w:r>
          </w:p>
        </w:tc>
      </w:tr>
    </w:tbl>
    <w:p w14:paraId="40AEE8D1" w14:textId="77777777" w:rsidR="006C6285" w:rsidRDefault="006C6285" w:rsidP="00536237">
      <w:pPr>
        <w:rPr>
          <w:sz w:val="32"/>
          <w:szCs w:val="32"/>
        </w:rPr>
      </w:pPr>
    </w:p>
    <w:sectPr w:rsidR="006C6285" w:rsidSect="004D4F35">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210B" w14:textId="77777777" w:rsidR="0057644B" w:rsidRDefault="0057644B" w:rsidP="001A0D8F">
      <w:r>
        <w:separator/>
      </w:r>
    </w:p>
  </w:endnote>
  <w:endnote w:type="continuationSeparator" w:id="0">
    <w:p w14:paraId="7489540D" w14:textId="77777777" w:rsidR="0057644B" w:rsidRDefault="0057644B" w:rsidP="001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3146499"/>
      <w:docPartObj>
        <w:docPartGallery w:val="Page Numbers (Bottom of Page)"/>
        <w:docPartUnique/>
      </w:docPartObj>
    </w:sdtPr>
    <w:sdtContent>
      <w:p w14:paraId="5208D558" w14:textId="2AA5D32F" w:rsidR="00776B41" w:rsidRDefault="00776B41" w:rsidP="004D4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DDFDA" w14:textId="77777777" w:rsidR="00776B41" w:rsidRDefault="00776B41" w:rsidP="001A0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0162814"/>
      <w:docPartObj>
        <w:docPartGallery w:val="Page Numbers (Bottom of Page)"/>
        <w:docPartUnique/>
      </w:docPartObj>
    </w:sdtPr>
    <w:sdtEndPr>
      <w:rPr>
        <w:rStyle w:val="PageNumber"/>
        <w:rFonts w:ascii="Garamond" w:hAnsi="Garamond"/>
      </w:rPr>
    </w:sdtEndPr>
    <w:sdtContent>
      <w:p w14:paraId="7415A5D0" w14:textId="039CC630" w:rsidR="00776B41" w:rsidRPr="00EA666A" w:rsidRDefault="00776B41" w:rsidP="009D773B">
        <w:pPr>
          <w:pStyle w:val="Footer"/>
          <w:framePr w:wrap="none" w:vAnchor="text" w:hAnchor="margin" w:xAlign="right" w:y="1"/>
          <w:rPr>
            <w:rStyle w:val="PageNumber"/>
            <w:rFonts w:ascii="Garamond" w:hAnsi="Garamond"/>
          </w:rPr>
        </w:pPr>
        <w:r w:rsidRPr="00EA666A">
          <w:rPr>
            <w:rStyle w:val="PageNumber"/>
            <w:rFonts w:ascii="Garamond" w:hAnsi="Garamond"/>
          </w:rPr>
          <w:fldChar w:fldCharType="begin"/>
        </w:r>
        <w:r w:rsidRPr="00EA666A">
          <w:rPr>
            <w:rStyle w:val="PageNumber"/>
            <w:rFonts w:ascii="Garamond" w:hAnsi="Garamond"/>
          </w:rPr>
          <w:instrText xml:space="preserve"> PAGE </w:instrText>
        </w:r>
        <w:r w:rsidRPr="00EA666A">
          <w:rPr>
            <w:rStyle w:val="PageNumber"/>
            <w:rFonts w:ascii="Garamond" w:hAnsi="Garamond"/>
          </w:rPr>
          <w:fldChar w:fldCharType="separate"/>
        </w:r>
        <w:r w:rsidR="00615D94">
          <w:rPr>
            <w:rStyle w:val="PageNumber"/>
            <w:rFonts w:ascii="Garamond" w:hAnsi="Garamond"/>
            <w:noProof/>
          </w:rPr>
          <w:t>21</w:t>
        </w:r>
        <w:r w:rsidRPr="00EA666A">
          <w:rPr>
            <w:rStyle w:val="PageNumber"/>
            <w:rFonts w:ascii="Garamond" w:hAnsi="Garamond"/>
          </w:rPr>
          <w:fldChar w:fldCharType="end"/>
        </w:r>
      </w:p>
    </w:sdtContent>
  </w:sdt>
  <w:p w14:paraId="6D4475DB" w14:textId="586806FD" w:rsidR="00776B41" w:rsidRPr="00EA666A" w:rsidRDefault="00776B41" w:rsidP="001A0D8F">
    <w:pPr>
      <w:pStyle w:val="Footer"/>
      <w:ind w:right="360"/>
      <w:rPr>
        <w:rFonts w:ascii="Garamond" w:hAnsi="Garamond"/>
      </w:rPr>
    </w:pPr>
    <w:r>
      <w:rPr>
        <w:rFonts w:ascii="Garamond" w:hAnsi="Garamond"/>
      </w:rPr>
      <w:t>DESOS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60D6" w14:textId="77777777" w:rsidR="00776B41" w:rsidRDefault="00776B41" w:rsidP="00001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46F7" w14:textId="77777777" w:rsidR="0057644B" w:rsidRDefault="0057644B" w:rsidP="001A0D8F">
      <w:r>
        <w:separator/>
      </w:r>
    </w:p>
  </w:footnote>
  <w:footnote w:type="continuationSeparator" w:id="0">
    <w:p w14:paraId="22F3F5E8" w14:textId="77777777" w:rsidR="0057644B" w:rsidRDefault="0057644B" w:rsidP="001A0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5C9D32"/>
    <w:multiLevelType w:val="hybridMultilevel"/>
    <w:tmpl w:val="1A5118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B5EE5"/>
    <w:multiLevelType w:val="hybridMultilevel"/>
    <w:tmpl w:val="8BFE1B66"/>
    <w:lvl w:ilvl="0" w:tplc="611025D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1C13"/>
    <w:multiLevelType w:val="hybridMultilevel"/>
    <w:tmpl w:val="77C09036"/>
    <w:lvl w:ilvl="0" w:tplc="E84EA5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623D70"/>
    <w:multiLevelType w:val="hybridMultilevel"/>
    <w:tmpl w:val="82A42BE2"/>
    <w:lvl w:ilvl="0" w:tplc="E84EA56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61365D"/>
    <w:multiLevelType w:val="hybridMultilevel"/>
    <w:tmpl w:val="7834E9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37AA8"/>
    <w:multiLevelType w:val="hybridMultilevel"/>
    <w:tmpl w:val="921A69B2"/>
    <w:lvl w:ilvl="0" w:tplc="E84EA56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ED24AB4"/>
    <w:multiLevelType w:val="hybridMultilevel"/>
    <w:tmpl w:val="5B1463A8"/>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B0616"/>
    <w:multiLevelType w:val="hybridMultilevel"/>
    <w:tmpl w:val="44BAF93C"/>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1797E"/>
    <w:multiLevelType w:val="hybridMultilevel"/>
    <w:tmpl w:val="393E845C"/>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C1DDA"/>
    <w:multiLevelType w:val="hybridMultilevel"/>
    <w:tmpl w:val="B128E494"/>
    <w:lvl w:ilvl="0" w:tplc="E84E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54363"/>
    <w:multiLevelType w:val="hybridMultilevel"/>
    <w:tmpl w:val="7182E322"/>
    <w:lvl w:ilvl="0" w:tplc="335CD16E">
      <w:start w:val="1"/>
      <w:numFmt w:val="decimal"/>
      <w:lvlText w:val="%1."/>
      <w:lvlJc w:val="left"/>
      <w:pPr>
        <w:ind w:left="695" w:hanging="335"/>
        <w:jc w:val="right"/>
      </w:pPr>
      <w:rPr>
        <w:rFonts w:asciiTheme="minorHAnsi" w:eastAsia="Arial" w:hAnsiTheme="minorHAnsi" w:cstheme="minorHAnsi" w:hint="default"/>
        <w:b/>
        <w:bCs/>
        <w:spacing w:val="1"/>
        <w:sz w:val="24"/>
        <w:szCs w:val="24"/>
      </w:rPr>
    </w:lvl>
    <w:lvl w:ilvl="1" w:tplc="604252BC">
      <w:start w:val="1"/>
      <w:numFmt w:val="bullet"/>
      <w:lvlText w:val=""/>
      <w:lvlJc w:val="left"/>
      <w:pPr>
        <w:ind w:left="800" w:hanging="360"/>
      </w:pPr>
      <w:rPr>
        <w:rFonts w:ascii="Symbol" w:eastAsia="Symbol" w:hAnsi="Symbol" w:hint="default"/>
        <w:sz w:val="24"/>
        <w:szCs w:val="24"/>
      </w:rPr>
    </w:lvl>
    <w:lvl w:ilvl="2" w:tplc="5588B926">
      <w:start w:val="1"/>
      <w:numFmt w:val="bullet"/>
      <w:lvlText w:val="o"/>
      <w:lvlJc w:val="left"/>
      <w:pPr>
        <w:ind w:left="1251" w:hanging="361"/>
      </w:pPr>
      <w:rPr>
        <w:rFonts w:ascii="Courier New" w:eastAsia="Courier New" w:hAnsi="Courier New" w:hint="default"/>
        <w:sz w:val="24"/>
        <w:szCs w:val="24"/>
      </w:rPr>
    </w:lvl>
    <w:lvl w:ilvl="3" w:tplc="7688D270">
      <w:start w:val="1"/>
      <w:numFmt w:val="bullet"/>
      <w:lvlText w:val="•"/>
      <w:lvlJc w:val="left"/>
      <w:pPr>
        <w:ind w:left="910" w:hanging="361"/>
      </w:pPr>
      <w:rPr>
        <w:rFonts w:hint="default"/>
      </w:rPr>
    </w:lvl>
    <w:lvl w:ilvl="4" w:tplc="97BA59FC">
      <w:start w:val="1"/>
      <w:numFmt w:val="bullet"/>
      <w:lvlText w:val="•"/>
      <w:lvlJc w:val="left"/>
      <w:pPr>
        <w:ind w:left="921" w:hanging="361"/>
      </w:pPr>
      <w:rPr>
        <w:rFonts w:hint="default"/>
      </w:rPr>
    </w:lvl>
    <w:lvl w:ilvl="5" w:tplc="81702C9A">
      <w:start w:val="1"/>
      <w:numFmt w:val="bullet"/>
      <w:lvlText w:val="•"/>
      <w:lvlJc w:val="left"/>
      <w:pPr>
        <w:ind w:left="1011" w:hanging="361"/>
      </w:pPr>
      <w:rPr>
        <w:rFonts w:hint="default"/>
      </w:rPr>
    </w:lvl>
    <w:lvl w:ilvl="6" w:tplc="7D9C6C80">
      <w:start w:val="1"/>
      <w:numFmt w:val="bullet"/>
      <w:lvlText w:val="•"/>
      <w:lvlJc w:val="left"/>
      <w:pPr>
        <w:ind w:left="1161" w:hanging="361"/>
      </w:pPr>
      <w:rPr>
        <w:rFonts w:hint="default"/>
      </w:rPr>
    </w:lvl>
    <w:lvl w:ilvl="7" w:tplc="01846EAE">
      <w:start w:val="1"/>
      <w:numFmt w:val="bullet"/>
      <w:lvlText w:val="•"/>
      <w:lvlJc w:val="left"/>
      <w:pPr>
        <w:ind w:left="1251" w:hanging="361"/>
      </w:pPr>
      <w:rPr>
        <w:rFonts w:hint="default"/>
      </w:rPr>
    </w:lvl>
    <w:lvl w:ilvl="8" w:tplc="A4EA1E64">
      <w:start w:val="1"/>
      <w:numFmt w:val="bullet"/>
      <w:lvlText w:val="•"/>
      <w:lvlJc w:val="left"/>
      <w:pPr>
        <w:ind w:left="4227" w:hanging="361"/>
      </w:pPr>
      <w:rPr>
        <w:rFonts w:hint="default"/>
      </w:rPr>
    </w:lvl>
  </w:abstractNum>
  <w:abstractNum w:abstractNumId="11" w15:restartNumberingAfterBreak="0">
    <w:nsid w:val="2D5F5456"/>
    <w:multiLevelType w:val="hybridMultilevel"/>
    <w:tmpl w:val="3F96F322"/>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D32E2"/>
    <w:multiLevelType w:val="hybridMultilevel"/>
    <w:tmpl w:val="8D9053A0"/>
    <w:lvl w:ilvl="0" w:tplc="E84EA5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C434F3"/>
    <w:multiLevelType w:val="hybridMultilevel"/>
    <w:tmpl w:val="3BBC2E68"/>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03392"/>
    <w:multiLevelType w:val="hybridMultilevel"/>
    <w:tmpl w:val="59C42926"/>
    <w:lvl w:ilvl="0" w:tplc="E84EA5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D875F1"/>
    <w:multiLevelType w:val="hybridMultilevel"/>
    <w:tmpl w:val="BCA0C120"/>
    <w:lvl w:ilvl="0" w:tplc="E84EA562">
      <w:start w:val="1"/>
      <w:numFmt w:val="bullet"/>
      <w:lvlText w:val=""/>
      <w:lvlJc w:val="left"/>
      <w:pPr>
        <w:ind w:left="720" w:hanging="360"/>
      </w:pPr>
      <w:rPr>
        <w:rFonts w:ascii="Symbol" w:hAnsi="Symbol" w:hint="default"/>
      </w:rPr>
    </w:lvl>
    <w:lvl w:ilvl="1" w:tplc="E84EA562">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179C7"/>
    <w:multiLevelType w:val="hybridMultilevel"/>
    <w:tmpl w:val="CA8C090C"/>
    <w:lvl w:ilvl="0" w:tplc="A8D4636E">
      <w:start w:val="3"/>
      <w:numFmt w:val="bullet"/>
      <w:lvlText w:val="-"/>
      <w:lvlJc w:val="left"/>
      <w:pPr>
        <w:ind w:left="2520" w:hanging="360"/>
      </w:pPr>
      <w:rPr>
        <w:rFonts w:ascii="Garamond" w:eastAsiaTheme="minorHAnsi" w:hAnsi="Garamond"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5A87A95"/>
    <w:multiLevelType w:val="hybridMultilevel"/>
    <w:tmpl w:val="07862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2E203A"/>
    <w:multiLevelType w:val="hybridMultilevel"/>
    <w:tmpl w:val="0964A746"/>
    <w:lvl w:ilvl="0" w:tplc="E84E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F14EA"/>
    <w:multiLevelType w:val="hybridMultilevel"/>
    <w:tmpl w:val="F78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A68B8"/>
    <w:multiLevelType w:val="hybridMultilevel"/>
    <w:tmpl w:val="37BC7B4E"/>
    <w:lvl w:ilvl="0" w:tplc="E84EA562">
      <w:start w:val="1"/>
      <w:numFmt w:val="bullet"/>
      <w:lvlText w:val=""/>
      <w:lvlJc w:val="left"/>
      <w:pPr>
        <w:ind w:left="720" w:hanging="360"/>
      </w:pPr>
      <w:rPr>
        <w:rFonts w:ascii="Symbol" w:hAnsi="Symbol" w:hint="default"/>
      </w:rPr>
    </w:lvl>
    <w:lvl w:ilvl="1" w:tplc="CBD42F6E">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D5C55"/>
    <w:multiLevelType w:val="hybridMultilevel"/>
    <w:tmpl w:val="D6B4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67E44"/>
    <w:multiLevelType w:val="hybridMultilevel"/>
    <w:tmpl w:val="ADDA22F6"/>
    <w:lvl w:ilvl="0" w:tplc="E84EA5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6365EF"/>
    <w:multiLevelType w:val="hybridMultilevel"/>
    <w:tmpl w:val="89749128"/>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63BB6"/>
    <w:multiLevelType w:val="hybridMultilevel"/>
    <w:tmpl w:val="0310E09A"/>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10871"/>
    <w:multiLevelType w:val="hybridMultilevel"/>
    <w:tmpl w:val="FA8A11F8"/>
    <w:lvl w:ilvl="0" w:tplc="E84EA5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CB3BC1"/>
    <w:multiLevelType w:val="hybridMultilevel"/>
    <w:tmpl w:val="1076CC40"/>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D1B63"/>
    <w:multiLevelType w:val="hybridMultilevel"/>
    <w:tmpl w:val="B0E4C40A"/>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7622C"/>
    <w:multiLevelType w:val="hybridMultilevel"/>
    <w:tmpl w:val="DBEC68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2258"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66A21"/>
    <w:multiLevelType w:val="hybridMultilevel"/>
    <w:tmpl w:val="D6C4CBF0"/>
    <w:lvl w:ilvl="0" w:tplc="A1D87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A6692"/>
    <w:multiLevelType w:val="hybridMultilevel"/>
    <w:tmpl w:val="5F801852"/>
    <w:lvl w:ilvl="0" w:tplc="E84E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437BE"/>
    <w:multiLevelType w:val="hybridMultilevel"/>
    <w:tmpl w:val="DDB291DA"/>
    <w:lvl w:ilvl="0" w:tplc="E04C6800">
      <w:start w:val="1"/>
      <w:numFmt w:val="bullet"/>
      <w:pStyle w:val="BulletLis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576E1"/>
    <w:multiLevelType w:val="hybridMultilevel"/>
    <w:tmpl w:val="E6388BA6"/>
    <w:lvl w:ilvl="0" w:tplc="E84EA562">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95ECB"/>
    <w:multiLevelType w:val="hybridMultilevel"/>
    <w:tmpl w:val="A20076EA"/>
    <w:lvl w:ilvl="0" w:tplc="25EAE2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FA76B6"/>
    <w:multiLevelType w:val="hybridMultilevel"/>
    <w:tmpl w:val="FBD4BA16"/>
    <w:lvl w:ilvl="0" w:tplc="E84EA562">
      <w:start w:val="1"/>
      <w:numFmt w:val="bullet"/>
      <w:lvlText w:val=""/>
      <w:lvlJc w:val="left"/>
      <w:pPr>
        <w:ind w:left="720" w:hanging="360"/>
      </w:pPr>
      <w:rPr>
        <w:rFonts w:ascii="Symbol" w:hAnsi="Symbol" w:hint="default"/>
      </w:rPr>
    </w:lvl>
    <w:lvl w:ilvl="1" w:tplc="E84EA562">
      <w:start w:val="1"/>
      <w:numFmt w:val="bullet"/>
      <w:lvlText w:val=""/>
      <w:lvlJc w:val="left"/>
      <w:pPr>
        <w:ind w:left="18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4"/>
  </w:num>
  <w:num w:numId="4">
    <w:abstractNumId w:val="33"/>
  </w:num>
  <w:num w:numId="5">
    <w:abstractNumId w:val="0"/>
  </w:num>
  <w:num w:numId="6">
    <w:abstractNumId w:val="21"/>
  </w:num>
  <w:num w:numId="7">
    <w:abstractNumId w:val="19"/>
  </w:num>
  <w:num w:numId="8">
    <w:abstractNumId w:val="1"/>
  </w:num>
  <w:num w:numId="9">
    <w:abstractNumId w:val="28"/>
  </w:num>
  <w:num w:numId="10">
    <w:abstractNumId w:val="9"/>
  </w:num>
  <w:num w:numId="11">
    <w:abstractNumId w:val="24"/>
  </w:num>
  <w:num w:numId="12">
    <w:abstractNumId w:val="11"/>
  </w:num>
  <w:num w:numId="13">
    <w:abstractNumId w:val="14"/>
  </w:num>
  <w:num w:numId="14">
    <w:abstractNumId w:val="20"/>
  </w:num>
  <w:num w:numId="15">
    <w:abstractNumId w:val="27"/>
  </w:num>
  <w:num w:numId="16">
    <w:abstractNumId w:val="13"/>
  </w:num>
  <w:num w:numId="17">
    <w:abstractNumId w:val="25"/>
  </w:num>
  <w:num w:numId="18">
    <w:abstractNumId w:val="8"/>
  </w:num>
  <w:num w:numId="19">
    <w:abstractNumId w:val="34"/>
  </w:num>
  <w:num w:numId="20">
    <w:abstractNumId w:val="6"/>
  </w:num>
  <w:num w:numId="21">
    <w:abstractNumId w:val="2"/>
  </w:num>
  <w:num w:numId="22">
    <w:abstractNumId w:val="23"/>
  </w:num>
  <w:num w:numId="23">
    <w:abstractNumId w:val="3"/>
  </w:num>
  <w:num w:numId="24">
    <w:abstractNumId w:val="18"/>
  </w:num>
  <w:num w:numId="25">
    <w:abstractNumId w:val="7"/>
  </w:num>
  <w:num w:numId="26">
    <w:abstractNumId w:val="15"/>
  </w:num>
  <w:num w:numId="27">
    <w:abstractNumId w:val="26"/>
  </w:num>
  <w:num w:numId="28">
    <w:abstractNumId w:val="30"/>
  </w:num>
  <w:num w:numId="29">
    <w:abstractNumId w:val="12"/>
  </w:num>
  <w:num w:numId="30">
    <w:abstractNumId w:val="22"/>
  </w:num>
  <w:num w:numId="31">
    <w:abstractNumId w:val="32"/>
  </w:num>
  <w:num w:numId="32">
    <w:abstractNumId w:val="16"/>
  </w:num>
  <w:num w:numId="33">
    <w:abstractNumId w:val="5"/>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DC"/>
    <w:rsid w:val="00001BF4"/>
    <w:rsid w:val="0000257D"/>
    <w:rsid w:val="0000320E"/>
    <w:rsid w:val="00003A49"/>
    <w:rsid w:val="000056C7"/>
    <w:rsid w:val="0001447B"/>
    <w:rsid w:val="0001556D"/>
    <w:rsid w:val="00022FB7"/>
    <w:rsid w:val="00023230"/>
    <w:rsid w:val="00024152"/>
    <w:rsid w:val="00025715"/>
    <w:rsid w:val="0002795A"/>
    <w:rsid w:val="0003081E"/>
    <w:rsid w:val="00037B40"/>
    <w:rsid w:val="00050F14"/>
    <w:rsid w:val="0005515A"/>
    <w:rsid w:val="00055FB9"/>
    <w:rsid w:val="000561D6"/>
    <w:rsid w:val="00057AEA"/>
    <w:rsid w:val="00067549"/>
    <w:rsid w:val="0007447D"/>
    <w:rsid w:val="0007513A"/>
    <w:rsid w:val="00082703"/>
    <w:rsid w:val="00091DCA"/>
    <w:rsid w:val="00091DEF"/>
    <w:rsid w:val="0009323F"/>
    <w:rsid w:val="000A164B"/>
    <w:rsid w:val="000A7334"/>
    <w:rsid w:val="000D0467"/>
    <w:rsid w:val="000E527E"/>
    <w:rsid w:val="000E5671"/>
    <w:rsid w:val="000F145F"/>
    <w:rsid w:val="000F3D89"/>
    <w:rsid w:val="000F6410"/>
    <w:rsid w:val="0010342C"/>
    <w:rsid w:val="00112376"/>
    <w:rsid w:val="00116BDA"/>
    <w:rsid w:val="00123F56"/>
    <w:rsid w:val="0012475E"/>
    <w:rsid w:val="00124A75"/>
    <w:rsid w:val="00126DED"/>
    <w:rsid w:val="00132BDC"/>
    <w:rsid w:val="00144CB2"/>
    <w:rsid w:val="00151F17"/>
    <w:rsid w:val="001522AF"/>
    <w:rsid w:val="00152941"/>
    <w:rsid w:val="00157FA6"/>
    <w:rsid w:val="00171683"/>
    <w:rsid w:val="00172653"/>
    <w:rsid w:val="00173464"/>
    <w:rsid w:val="00175500"/>
    <w:rsid w:val="00176776"/>
    <w:rsid w:val="0017694E"/>
    <w:rsid w:val="001A03A0"/>
    <w:rsid w:val="001A0D8F"/>
    <w:rsid w:val="001A1D70"/>
    <w:rsid w:val="001A597E"/>
    <w:rsid w:val="001B0694"/>
    <w:rsid w:val="001B3365"/>
    <w:rsid w:val="001B7C20"/>
    <w:rsid w:val="001C310C"/>
    <w:rsid w:val="001C5604"/>
    <w:rsid w:val="001D0781"/>
    <w:rsid w:val="001D3EBC"/>
    <w:rsid w:val="001D3F48"/>
    <w:rsid w:val="001E2349"/>
    <w:rsid w:val="001E7E3E"/>
    <w:rsid w:val="001F0EF7"/>
    <w:rsid w:val="001F3464"/>
    <w:rsid w:val="00201A5B"/>
    <w:rsid w:val="002027C9"/>
    <w:rsid w:val="00202A0C"/>
    <w:rsid w:val="002039DD"/>
    <w:rsid w:val="00211A16"/>
    <w:rsid w:val="002147E6"/>
    <w:rsid w:val="00217732"/>
    <w:rsid w:val="002228B4"/>
    <w:rsid w:val="00230560"/>
    <w:rsid w:val="00230F67"/>
    <w:rsid w:val="0023731D"/>
    <w:rsid w:val="00240367"/>
    <w:rsid w:val="00241011"/>
    <w:rsid w:val="00254EF0"/>
    <w:rsid w:val="002558D8"/>
    <w:rsid w:val="00257BF1"/>
    <w:rsid w:val="00262F93"/>
    <w:rsid w:val="00266E68"/>
    <w:rsid w:val="00276402"/>
    <w:rsid w:val="0027647B"/>
    <w:rsid w:val="002802B9"/>
    <w:rsid w:val="00281DA3"/>
    <w:rsid w:val="002B19A0"/>
    <w:rsid w:val="002B1F91"/>
    <w:rsid w:val="002B2DCD"/>
    <w:rsid w:val="002C3A11"/>
    <w:rsid w:val="002C6122"/>
    <w:rsid w:val="002D0A9E"/>
    <w:rsid w:val="002D790C"/>
    <w:rsid w:val="002E01C0"/>
    <w:rsid w:val="002E18DC"/>
    <w:rsid w:val="002E7D53"/>
    <w:rsid w:val="002F0E28"/>
    <w:rsid w:val="002F55D9"/>
    <w:rsid w:val="002F6895"/>
    <w:rsid w:val="00300302"/>
    <w:rsid w:val="003020AD"/>
    <w:rsid w:val="003240DC"/>
    <w:rsid w:val="00331F57"/>
    <w:rsid w:val="003344B7"/>
    <w:rsid w:val="00342637"/>
    <w:rsid w:val="00343308"/>
    <w:rsid w:val="003455E4"/>
    <w:rsid w:val="00373701"/>
    <w:rsid w:val="00383DFC"/>
    <w:rsid w:val="00384719"/>
    <w:rsid w:val="003907AB"/>
    <w:rsid w:val="00394647"/>
    <w:rsid w:val="003A0534"/>
    <w:rsid w:val="003A1A67"/>
    <w:rsid w:val="003C4FFC"/>
    <w:rsid w:val="003C69AD"/>
    <w:rsid w:val="003D4971"/>
    <w:rsid w:val="003E0FAE"/>
    <w:rsid w:val="003E1A76"/>
    <w:rsid w:val="003E3FD0"/>
    <w:rsid w:val="003E5CED"/>
    <w:rsid w:val="003E76F9"/>
    <w:rsid w:val="003F15FF"/>
    <w:rsid w:val="003F4ECC"/>
    <w:rsid w:val="003F5BC3"/>
    <w:rsid w:val="0040074E"/>
    <w:rsid w:val="004057B2"/>
    <w:rsid w:val="004142E4"/>
    <w:rsid w:val="00414D7E"/>
    <w:rsid w:val="00424A67"/>
    <w:rsid w:val="0042591B"/>
    <w:rsid w:val="00426D2C"/>
    <w:rsid w:val="00432F22"/>
    <w:rsid w:val="00436EAE"/>
    <w:rsid w:val="00442600"/>
    <w:rsid w:val="00444653"/>
    <w:rsid w:val="004633EF"/>
    <w:rsid w:val="0046483A"/>
    <w:rsid w:val="00472FB3"/>
    <w:rsid w:val="00477533"/>
    <w:rsid w:val="0048222E"/>
    <w:rsid w:val="004A0F18"/>
    <w:rsid w:val="004A6862"/>
    <w:rsid w:val="004B6EFE"/>
    <w:rsid w:val="004C2301"/>
    <w:rsid w:val="004D0751"/>
    <w:rsid w:val="004D3069"/>
    <w:rsid w:val="004D4F35"/>
    <w:rsid w:val="004D7AD8"/>
    <w:rsid w:val="004E25BF"/>
    <w:rsid w:val="004E3DEA"/>
    <w:rsid w:val="004F1B16"/>
    <w:rsid w:val="004F3344"/>
    <w:rsid w:val="004F4C2D"/>
    <w:rsid w:val="004F5A6C"/>
    <w:rsid w:val="00502892"/>
    <w:rsid w:val="00503B38"/>
    <w:rsid w:val="00515F1E"/>
    <w:rsid w:val="00520A08"/>
    <w:rsid w:val="00522C22"/>
    <w:rsid w:val="005326B9"/>
    <w:rsid w:val="00536237"/>
    <w:rsid w:val="005529F3"/>
    <w:rsid w:val="0056200E"/>
    <w:rsid w:val="0056331B"/>
    <w:rsid w:val="0057526E"/>
    <w:rsid w:val="0057644B"/>
    <w:rsid w:val="00581975"/>
    <w:rsid w:val="0058669C"/>
    <w:rsid w:val="005914D0"/>
    <w:rsid w:val="005A31E8"/>
    <w:rsid w:val="005A32BC"/>
    <w:rsid w:val="005B318D"/>
    <w:rsid w:val="005D30DB"/>
    <w:rsid w:val="005D31A9"/>
    <w:rsid w:val="005E3E45"/>
    <w:rsid w:val="005E49E2"/>
    <w:rsid w:val="005E4CFE"/>
    <w:rsid w:val="005F10C9"/>
    <w:rsid w:val="005F4501"/>
    <w:rsid w:val="005F4B80"/>
    <w:rsid w:val="005F6E5B"/>
    <w:rsid w:val="005F7D4B"/>
    <w:rsid w:val="00602F0D"/>
    <w:rsid w:val="00603111"/>
    <w:rsid w:val="00607CAE"/>
    <w:rsid w:val="00607FD2"/>
    <w:rsid w:val="00610E72"/>
    <w:rsid w:val="00612398"/>
    <w:rsid w:val="00615D94"/>
    <w:rsid w:val="0063072D"/>
    <w:rsid w:val="00637690"/>
    <w:rsid w:val="0064786C"/>
    <w:rsid w:val="00654F09"/>
    <w:rsid w:val="006621C0"/>
    <w:rsid w:val="006644E4"/>
    <w:rsid w:val="006669B4"/>
    <w:rsid w:val="00672B4B"/>
    <w:rsid w:val="006745BD"/>
    <w:rsid w:val="00684F36"/>
    <w:rsid w:val="006868F2"/>
    <w:rsid w:val="00696153"/>
    <w:rsid w:val="006C44EF"/>
    <w:rsid w:val="006C5C60"/>
    <w:rsid w:val="006C6285"/>
    <w:rsid w:val="006D652C"/>
    <w:rsid w:val="006E22CF"/>
    <w:rsid w:val="007251F4"/>
    <w:rsid w:val="00730913"/>
    <w:rsid w:val="0073141B"/>
    <w:rsid w:val="00745E55"/>
    <w:rsid w:val="0075086C"/>
    <w:rsid w:val="00752BCB"/>
    <w:rsid w:val="0076451D"/>
    <w:rsid w:val="00764604"/>
    <w:rsid w:val="007679AA"/>
    <w:rsid w:val="00770CBE"/>
    <w:rsid w:val="00774B59"/>
    <w:rsid w:val="00776B41"/>
    <w:rsid w:val="00785AE4"/>
    <w:rsid w:val="007906C4"/>
    <w:rsid w:val="00791CF0"/>
    <w:rsid w:val="0079778C"/>
    <w:rsid w:val="007A0586"/>
    <w:rsid w:val="007A07FB"/>
    <w:rsid w:val="007A6330"/>
    <w:rsid w:val="007A704C"/>
    <w:rsid w:val="007A7D6C"/>
    <w:rsid w:val="007B0A1D"/>
    <w:rsid w:val="007B20B8"/>
    <w:rsid w:val="007B57F4"/>
    <w:rsid w:val="007C170D"/>
    <w:rsid w:val="007C1863"/>
    <w:rsid w:val="007C2261"/>
    <w:rsid w:val="007F1C35"/>
    <w:rsid w:val="007F68B7"/>
    <w:rsid w:val="007F6BFD"/>
    <w:rsid w:val="008076A4"/>
    <w:rsid w:val="008119EC"/>
    <w:rsid w:val="00813263"/>
    <w:rsid w:val="00831FFD"/>
    <w:rsid w:val="00843BA1"/>
    <w:rsid w:val="00847A00"/>
    <w:rsid w:val="00853FBD"/>
    <w:rsid w:val="00854FDA"/>
    <w:rsid w:val="00855014"/>
    <w:rsid w:val="00855CAB"/>
    <w:rsid w:val="008564D3"/>
    <w:rsid w:val="008702BC"/>
    <w:rsid w:val="00870ADB"/>
    <w:rsid w:val="00870C47"/>
    <w:rsid w:val="00873CD6"/>
    <w:rsid w:val="00880253"/>
    <w:rsid w:val="008833AA"/>
    <w:rsid w:val="00886929"/>
    <w:rsid w:val="00891EF7"/>
    <w:rsid w:val="00895D9B"/>
    <w:rsid w:val="008A5ECC"/>
    <w:rsid w:val="008C5EB1"/>
    <w:rsid w:val="008D1A4D"/>
    <w:rsid w:val="008D3899"/>
    <w:rsid w:val="008D398C"/>
    <w:rsid w:val="008D58AD"/>
    <w:rsid w:val="008D669F"/>
    <w:rsid w:val="008D6960"/>
    <w:rsid w:val="008E40E1"/>
    <w:rsid w:val="00901801"/>
    <w:rsid w:val="00902254"/>
    <w:rsid w:val="009049FE"/>
    <w:rsid w:val="00915A88"/>
    <w:rsid w:val="009213A1"/>
    <w:rsid w:val="00933B42"/>
    <w:rsid w:val="009357ED"/>
    <w:rsid w:val="009413A0"/>
    <w:rsid w:val="00954E82"/>
    <w:rsid w:val="00961D53"/>
    <w:rsid w:val="00963379"/>
    <w:rsid w:val="00963A80"/>
    <w:rsid w:val="00971962"/>
    <w:rsid w:val="0097437B"/>
    <w:rsid w:val="00976A22"/>
    <w:rsid w:val="0098371F"/>
    <w:rsid w:val="009860BF"/>
    <w:rsid w:val="009863A3"/>
    <w:rsid w:val="0099257B"/>
    <w:rsid w:val="009A7D93"/>
    <w:rsid w:val="009B328E"/>
    <w:rsid w:val="009B4B3E"/>
    <w:rsid w:val="009D773B"/>
    <w:rsid w:val="009E0438"/>
    <w:rsid w:val="009E2E06"/>
    <w:rsid w:val="009E4D4D"/>
    <w:rsid w:val="009F22EE"/>
    <w:rsid w:val="009F31C0"/>
    <w:rsid w:val="009F3447"/>
    <w:rsid w:val="00A11D79"/>
    <w:rsid w:val="00A11E7B"/>
    <w:rsid w:val="00A14F18"/>
    <w:rsid w:val="00A24B71"/>
    <w:rsid w:val="00A32304"/>
    <w:rsid w:val="00A457A0"/>
    <w:rsid w:val="00A47FA9"/>
    <w:rsid w:val="00A569A9"/>
    <w:rsid w:val="00A60FF1"/>
    <w:rsid w:val="00A6646E"/>
    <w:rsid w:val="00A66DF5"/>
    <w:rsid w:val="00A7632C"/>
    <w:rsid w:val="00A76DFB"/>
    <w:rsid w:val="00A81309"/>
    <w:rsid w:val="00A842AC"/>
    <w:rsid w:val="00A92F8B"/>
    <w:rsid w:val="00A9541F"/>
    <w:rsid w:val="00AA162F"/>
    <w:rsid w:val="00AB24A6"/>
    <w:rsid w:val="00AC1E72"/>
    <w:rsid w:val="00AD0430"/>
    <w:rsid w:val="00AD3B8F"/>
    <w:rsid w:val="00AD5900"/>
    <w:rsid w:val="00AE4FE8"/>
    <w:rsid w:val="00AE51E5"/>
    <w:rsid w:val="00AF4B93"/>
    <w:rsid w:val="00B0605F"/>
    <w:rsid w:val="00B156D9"/>
    <w:rsid w:val="00B15A93"/>
    <w:rsid w:val="00B25FFC"/>
    <w:rsid w:val="00B30579"/>
    <w:rsid w:val="00B30EF1"/>
    <w:rsid w:val="00B66B48"/>
    <w:rsid w:val="00B67EAB"/>
    <w:rsid w:val="00B759CC"/>
    <w:rsid w:val="00B84061"/>
    <w:rsid w:val="00B85630"/>
    <w:rsid w:val="00BA1922"/>
    <w:rsid w:val="00BA4828"/>
    <w:rsid w:val="00BA74B2"/>
    <w:rsid w:val="00BB139C"/>
    <w:rsid w:val="00BB2E75"/>
    <w:rsid w:val="00BB7A7E"/>
    <w:rsid w:val="00BC4DF4"/>
    <w:rsid w:val="00BD20F2"/>
    <w:rsid w:val="00BD4B0D"/>
    <w:rsid w:val="00BE0B0C"/>
    <w:rsid w:val="00BE0DEE"/>
    <w:rsid w:val="00BE3CD9"/>
    <w:rsid w:val="00BE3E37"/>
    <w:rsid w:val="00BE5F56"/>
    <w:rsid w:val="00BF6792"/>
    <w:rsid w:val="00BF7A84"/>
    <w:rsid w:val="00C02153"/>
    <w:rsid w:val="00C03D26"/>
    <w:rsid w:val="00C12BC6"/>
    <w:rsid w:val="00C14847"/>
    <w:rsid w:val="00C17326"/>
    <w:rsid w:val="00C20EE6"/>
    <w:rsid w:val="00C26E88"/>
    <w:rsid w:val="00C34D7C"/>
    <w:rsid w:val="00C46692"/>
    <w:rsid w:val="00C46873"/>
    <w:rsid w:val="00C468DA"/>
    <w:rsid w:val="00C55EC0"/>
    <w:rsid w:val="00C6307D"/>
    <w:rsid w:val="00C7326D"/>
    <w:rsid w:val="00C81FF9"/>
    <w:rsid w:val="00C86999"/>
    <w:rsid w:val="00C91779"/>
    <w:rsid w:val="00C9574C"/>
    <w:rsid w:val="00CB19E2"/>
    <w:rsid w:val="00CB5C3A"/>
    <w:rsid w:val="00CC2CD8"/>
    <w:rsid w:val="00CD02FE"/>
    <w:rsid w:val="00CD181D"/>
    <w:rsid w:val="00CD25FF"/>
    <w:rsid w:val="00CD26E5"/>
    <w:rsid w:val="00CD5B6A"/>
    <w:rsid w:val="00CD5CEE"/>
    <w:rsid w:val="00CE0188"/>
    <w:rsid w:val="00CE105E"/>
    <w:rsid w:val="00CE2429"/>
    <w:rsid w:val="00CE76DA"/>
    <w:rsid w:val="00CF688B"/>
    <w:rsid w:val="00D02189"/>
    <w:rsid w:val="00D044D7"/>
    <w:rsid w:val="00D11AB1"/>
    <w:rsid w:val="00D205C0"/>
    <w:rsid w:val="00D253AA"/>
    <w:rsid w:val="00D25E57"/>
    <w:rsid w:val="00D336D6"/>
    <w:rsid w:val="00D36EB9"/>
    <w:rsid w:val="00D37AA5"/>
    <w:rsid w:val="00D635B2"/>
    <w:rsid w:val="00D73E4B"/>
    <w:rsid w:val="00D73F9B"/>
    <w:rsid w:val="00D76799"/>
    <w:rsid w:val="00D82373"/>
    <w:rsid w:val="00D82ADD"/>
    <w:rsid w:val="00DC1B18"/>
    <w:rsid w:val="00DC35E9"/>
    <w:rsid w:val="00DC53BC"/>
    <w:rsid w:val="00DD019F"/>
    <w:rsid w:val="00DD27DD"/>
    <w:rsid w:val="00DD69E3"/>
    <w:rsid w:val="00DD6BD6"/>
    <w:rsid w:val="00DE12CC"/>
    <w:rsid w:val="00DE2801"/>
    <w:rsid w:val="00E027C1"/>
    <w:rsid w:val="00E24801"/>
    <w:rsid w:val="00E52E88"/>
    <w:rsid w:val="00E60F98"/>
    <w:rsid w:val="00E624A2"/>
    <w:rsid w:val="00E7477A"/>
    <w:rsid w:val="00E74A5B"/>
    <w:rsid w:val="00E83526"/>
    <w:rsid w:val="00E85926"/>
    <w:rsid w:val="00E87A0D"/>
    <w:rsid w:val="00E94B4E"/>
    <w:rsid w:val="00E971C5"/>
    <w:rsid w:val="00EA0254"/>
    <w:rsid w:val="00EA05B0"/>
    <w:rsid w:val="00EA666A"/>
    <w:rsid w:val="00EB0EE6"/>
    <w:rsid w:val="00EB23B5"/>
    <w:rsid w:val="00EC18A9"/>
    <w:rsid w:val="00EC4121"/>
    <w:rsid w:val="00ED5487"/>
    <w:rsid w:val="00ED6D81"/>
    <w:rsid w:val="00EE2F11"/>
    <w:rsid w:val="00EE3A9D"/>
    <w:rsid w:val="00EF2095"/>
    <w:rsid w:val="00F04A98"/>
    <w:rsid w:val="00F05FBD"/>
    <w:rsid w:val="00F14AE9"/>
    <w:rsid w:val="00F20BE1"/>
    <w:rsid w:val="00F22C22"/>
    <w:rsid w:val="00F27D53"/>
    <w:rsid w:val="00F30CC0"/>
    <w:rsid w:val="00F32605"/>
    <w:rsid w:val="00F368B1"/>
    <w:rsid w:val="00F42B14"/>
    <w:rsid w:val="00F43FA1"/>
    <w:rsid w:val="00F51ED4"/>
    <w:rsid w:val="00F524C7"/>
    <w:rsid w:val="00F54ED5"/>
    <w:rsid w:val="00F60ACA"/>
    <w:rsid w:val="00F61AE6"/>
    <w:rsid w:val="00F67DF9"/>
    <w:rsid w:val="00F75BAF"/>
    <w:rsid w:val="00F75ED8"/>
    <w:rsid w:val="00F93182"/>
    <w:rsid w:val="00FA6EC6"/>
    <w:rsid w:val="00FB2014"/>
    <w:rsid w:val="00FB25A5"/>
    <w:rsid w:val="00FB450A"/>
    <w:rsid w:val="00FB464D"/>
    <w:rsid w:val="00FB6F56"/>
    <w:rsid w:val="00FD315E"/>
    <w:rsid w:val="00FD5C00"/>
    <w:rsid w:val="00FE388D"/>
    <w:rsid w:val="00FE4ECD"/>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92D6"/>
  <w15:chartTrackingRefBased/>
  <w15:docId w15:val="{FC012F72-3171-3842-A48F-3E0741B2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B4"/>
    <w:pPr>
      <w:spacing w:after="120" w:line="276" w:lineRule="auto"/>
    </w:pPr>
    <w:rPr>
      <w:rFonts w:ascii="Garamond" w:eastAsia="Times New Roman" w:hAnsi="Garamond" w:cs="Times New Roman"/>
      <w:sz w:val="26"/>
    </w:rPr>
  </w:style>
  <w:style w:type="paragraph" w:styleId="Heading1">
    <w:name w:val="heading 1"/>
    <w:basedOn w:val="Normal"/>
    <w:link w:val="Heading1Char"/>
    <w:uiPriority w:val="1"/>
    <w:qFormat/>
    <w:rsid w:val="00F42B14"/>
    <w:pPr>
      <w:keepNext/>
      <w:keepLines/>
      <w:pageBreakBefore/>
      <w:outlineLvl w:val="0"/>
    </w:pPr>
    <w:rPr>
      <w:b/>
      <w:sz w:val="48"/>
    </w:rPr>
  </w:style>
  <w:style w:type="paragraph" w:styleId="Heading2">
    <w:name w:val="heading 2"/>
    <w:basedOn w:val="Normal"/>
    <w:next w:val="Normal"/>
    <w:link w:val="Heading2Char"/>
    <w:uiPriority w:val="9"/>
    <w:unhideWhenUsed/>
    <w:qFormat/>
    <w:rsid w:val="000E5671"/>
    <w:pPr>
      <w:keepNext/>
      <w:keepLines/>
      <w:spacing w:before="480"/>
      <w:outlineLvl w:val="1"/>
    </w:pPr>
    <w:rPr>
      <w:b/>
      <w:sz w:val="36"/>
      <w:szCs w:val="28"/>
    </w:rPr>
  </w:style>
  <w:style w:type="paragraph" w:styleId="Heading3">
    <w:name w:val="heading 3"/>
    <w:basedOn w:val="Heading2"/>
    <w:next w:val="Normal"/>
    <w:link w:val="Heading3Char"/>
    <w:uiPriority w:val="9"/>
    <w:unhideWhenUsed/>
    <w:qFormat/>
    <w:rsid w:val="00F42B14"/>
    <w:pPr>
      <w:outlineLvl w:val="2"/>
    </w:pPr>
    <w:rPr>
      <w:sz w:val="28"/>
    </w:rPr>
  </w:style>
  <w:style w:type="paragraph" w:styleId="Heading4">
    <w:name w:val="heading 4"/>
    <w:basedOn w:val="Normal"/>
    <w:next w:val="Normal"/>
    <w:link w:val="Heading4Char"/>
    <w:uiPriority w:val="9"/>
    <w:unhideWhenUsed/>
    <w:qFormat/>
    <w:rsid w:val="00DC1B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524C7"/>
    <w:pPr>
      <w:numPr>
        <w:numId w:val="8"/>
      </w:numPr>
      <w:ind w:left="360"/>
    </w:pPr>
    <w:rPr>
      <w:rFonts w:eastAsiaTheme="minorHAnsi" w:cs="Arial"/>
    </w:rPr>
  </w:style>
  <w:style w:type="paragraph" w:styleId="Header">
    <w:name w:val="header"/>
    <w:basedOn w:val="Normal"/>
    <w:link w:val="HeaderChar"/>
    <w:uiPriority w:val="99"/>
    <w:unhideWhenUsed/>
    <w:rsid w:val="001A0D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A0D8F"/>
  </w:style>
  <w:style w:type="paragraph" w:styleId="Footer">
    <w:name w:val="footer"/>
    <w:basedOn w:val="Normal"/>
    <w:link w:val="FooterChar"/>
    <w:uiPriority w:val="99"/>
    <w:unhideWhenUsed/>
    <w:rsid w:val="001A0D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A0D8F"/>
  </w:style>
  <w:style w:type="character" w:styleId="PageNumber">
    <w:name w:val="page number"/>
    <w:basedOn w:val="DefaultParagraphFont"/>
    <w:uiPriority w:val="99"/>
    <w:semiHidden/>
    <w:unhideWhenUsed/>
    <w:rsid w:val="001A0D8F"/>
  </w:style>
  <w:style w:type="table" w:styleId="TableGrid">
    <w:name w:val="Table Grid"/>
    <w:basedOn w:val="TableNormal"/>
    <w:uiPriority w:val="39"/>
    <w:rsid w:val="000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qFormat/>
    <w:rsid w:val="00024152"/>
    <w:pPr>
      <w:keepLines/>
      <w:numPr>
        <w:numId w:val="35"/>
      </w:numPr>
      <w:spacing w:after="60"/>
    </w:pPr>
  </w:style>
  <w:style w:type="character" w:customStyle="1" w:styleId="Heading3Char">
    <w:name w:val="Heading 3 Char"/>
    <w:basedOn w:val="DefaultParagraphFont"/>
    <w:link w:val="Heading3"/>
    <w:uiPriority w:val="9"/>
    <w:rsid w:val="00F42B14"/>
    <w:rPr>
      <w:rFonts w:ascii="Garamond" w:eastAsia="Times New Roman" w:hAnsi="Garamond" w:cs="Times New Roman"/>
      <w:b/>
      <w:sz w:val="28"/>
      <w:szCs w:val="28"/>
    </w:rPr>
  </w:style>
  <w:style w:type="character" w:styleId="SubtleEmphasis">
    <w:name w:val="Subtle Emphasis"/>
    <w:basedOn w:val="DefaultParagraphFont"/>
    <w:uiPriority w:val="19"/>
    <w:qFormat/>
    <w:rsid w:val="00C34D7C"/>
    <w:rPr>
      <w:i/>
      <w:iCs/>
    </w:rPr>
  </w:style>
  <w:style w:type="character" w:styleId="Hyperlink">
    <w:name w:val="Hyperlink"/>
    <w:basedOn w:val="DefaultParagraphFont"/>
    <w:uiPriority w:val="99"/>
    <w:unhideWhenUsed/>
    <w:rsid w:val="00152941"/>
    <w:rPr>
      <w:color w:val="0563C1" w:themeColor="hyperlink"/>
      <w:u w:val="single"/>
    </w:rPr>
  </w:style>
  <w:style w:type="character" w:styleId="FollowedHyperlink">
    <w:name w:val="FollowedHyperlink"/>
    <w:basedOn w:val="DefaultParagraphFont"/>
    <w:uiPriority w:val="99"/>
    <w:semiHidden/>
    <w:unhideWhenUsed/>
    <w:rsid w:val="00152941"/>
    <w:rPr>
      <w:color w:val="954F72" w:themeColor="followedHyperlink"/>
      <w:u w:val="single"/>
    </w:rPr>
  </w:style>
  <w:style w:type="character" w:customStyle="1" w:styleId="Heading2Char">
    <w:name w:val="Heading 2 Char"/>
    <w:basedOn w:val="DefaultParagraphFont"/>
    <w:link w:val="Heading2"/>
    <w:uiPriority w:val="9"/>
    <w:rsid w:val="000E5671"/>
    <w:rPr>
      <w:rFonts w:ascii="Garamond" w:eastAsia="Times New Roman" w:hAnsi="Garamond" w:cs="Times New Roman"/>
      <w:b/>
      <w:sz w:val="36"/>
      <w:szCs w:val="28"/>
    </w:rPr>
  </w:style>
  <w:style w:type="paragraph" w:styleId="NoSpacing">
    <w:name w:val="No Spacing"/>
    <w:uiPriority w:val="1"/>
    <w:qFormat/>
    <w:rsid w:val="00EE2F11"/>
    <w:rPr>
      <w:rFonts w:ascii="Garamond" w:eastAsia="Times New Roman" w:hAnsi="Garamond" w:cs="Times New Roman"/>
      <w:sz w:val="26"/>
    </w:rPr>
  </w:style>
  <w:style w:type="character" w:customStyle="1" w:styleId="Heading1Char">
    <w:name w:val="Heading 1 Char"/>
    <w:basedOn w:val="DefaultParagraphFont"/>
    <w:link w:val="Heading1"/>
    <w:uiPriority w:val="1"/>
    <w:rsid w:val="00F42B14"/>
    <w:rPr>
      <w:rFonts w:ascii="Garamond" w:eastAsia="Times New Roman" w:hAnsi="Garamond" w:cs="Times New Roman"/>
      <w:b/>
      <w:sz w:val="48"/>
    </w:rPr>
  </w:style>
  <w:style w:type="paragraph" w:styleId="BalloonText">
    <w:name w:val="Balloon Text"/>
    <w:basedOn w:val="Normal"/>
    <w:link w:val="BalloonTextChar"/>
    <w:uiPriority w:val="99"/>
    <w:semiHidden/>
    <w:unhideWhenUsed/>
    <w:rsid w:val="00D205C0"/>
    <w:rPr>
      <w:sz w:val="18"/>
      <w:szCs w:val="18"/>
    </w:rPr>
  </w:style>
  <w:style w:type="character" w:customStyle="1" w:styleId="BalloonTextChar">
    <w:name w:val="Balloon Text Char"/>
    <w:basedOn w:val="DefaultParagraphFont"/>
    <w:link w:val="BalloonText"/>
    <w:uiPriority w:val="99"/>
    <w:semiHidden/>
    <w:rsid w:val="00D205C0"/>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CE76DA"/>
    <w:rPr>
      <w:sz w:val="72"/>
      <w:szCs w:val="72"/>
    </w:rPr>
  </w:style>
  <w:style w:type="character" w:customStyle="1" w:styleId="TitleChar">
    <w:name w:val="Title Char"/>
    <w:basedOn w:val="DefaultParagraphFont"/>
    <w:link w:val="Title"/>
    <w:uiPriority w:val="10"/>
    <w:rsid w:val="00CE76DA"/>
    <w:rPr>
      <w:rFonts w:ascii="Garamond" w:eastAsia="Times New Roman" w:hAnsi="Garamond" w:cs="Times New Roman"/>
      <w:sz w:val="72"/>
      <w:szCs w:val="72"/>
    </w:rPr>
  </w:style>
  <w:style w:type="paragraph" w:styleId="TOCHeading">
    <w:name w:val="TOC Heading"/>
    <w:basedOn w:val="Heading1"/>
    <w:next w:val="Normal"/>
    <w:uiPriority w:val="39"/>
    <w:unhideWhenUsed/>
    <w:qFormat/>
    <w:rsid w:val="00776B41"/>
    <w:pPr>
      <w:pageBreakBefore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76B41"/>
    <w:pPr>
      <w:spacing w:after="100"/>
    </w:pPr>
  </w:style>
  <w:style w:type="paragraph" w:styleId="TOC2">
    <w:name w:val="toc 2"/>
    <w:basedOn w:val="Normal"/>
    <w:next w:val="Normal"/>
    <w:autoRedefine/>
    <w:uiPriority w:val="39"/>
    <w:unhideWhenUsed/>
    <w:rsid w:val="00776B41"/>
    <w:pPr>
      <w:spacing w:after="100"/>
      <w:ind w:left="260"/>
    </w:pPr>
  </w:style>
  <w:style w:type="character" w:customStyle="1" w:styleId="Heading4Char">
    <w:name w:val="Heading 4 Char"/>
    <w:basedOn w:val="DefaultParagraphFont"/>
    <w:link w:val="Heading4"/>
    <w:uiPriority w:val="9"/>
    <w:rsid w:val="00DC1B18"/>
    <w:rPr>
      <w:rFonts w:asciiTheme="majorHAnsi" w:eastAsiaTheme="majorEastAsia" w:hAnsiTheme="majorHAnsi" w:cstheme="majorBidi"/>
      <w:i/>
      <w:iCs/>
      <w:color w:val="2F5496" w:themeColor="accent1" w:themeShade="BF"/>
      <w:sz w:val="26"/>
    </w:rPr>
  </w:style>
  <w:style w:type="paragraph" w:styleId="Subtitle">
    <w:name w:val="Subtitle"/>
    <w:basedOn w:val="Normal"/>
    <w:next w:val="Normal"/>
    <w:link w:val="SubtitleChar"/>
    <w:uiPriority w:val="11"/>
    <w:qFormat/>
    <w:rsid w:val="001F0EF7"/>
  </w:style>
  <w:style w:type="character" w:customStyle="1" w:styleId="SubtitleChar">
    <w:name w:val="Subtitle Char"/>
    <w:basedOn w:val="DefaultParagraphFont"/>
    <w:link w:val="Subtitle"/>
    <w:uiPriority w:val="11"/>
    <w:rsid w:val="001F0EF7"/>
    <w:rPr>
      <w:rFonts w:ascii="Garamond" w:eastAsia="Times New Roman" w:hAnsi="Garamond"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27434">
      <w:bodyDiv w:val="1"/>
      <w:marLeft w:val="0"/>
      <w:marRight w:val="0"/>
      <w:marTop w:val="0"/>
      <w:marBottom w:val="0"/>
      <w:divBdr>
        <w:top w:val="none" w:sz="0" w:space="0" w:color="auto"/>
        <w:left w:val="none" w:sz="0" w:space="0" w:color="auto"/>
        <w:bottom w:val="none" w:sz="0" w:space="0" w:color="auto"/>
        <w:right w:val="none" w:sz="0" w:space="0" w:color="auto"/>
      </w:divBdr>
    </w:div>
    <w:div w:id="481241968">
      <w:bodyDiv w:val="1"/>
      <w:marLeft w:val="0"/>
      <w:marRight w:val="0"/>
      <w:marTop w:val="0"/>
      <w:marBottom w:val="0"/>
      <w:divBdr>
        <w:top w:val="none" w:sz="0" w:space="0" w:color="auto"/>
        <w:left w:val="none" w:sz="0" w:space="0" w:color="auto"/>
        <w:bottom w:val="none" w:sz="0" w:space="0" w:color="auto"/>
        <w:right w:val="none" w:sz="0" w:space="0" w:color="auto"/>
      </w:divBdr>
    </w:div>
    <w:div w:id="570238051">
      <w:bodyDiv w:val="1"/>
      <w:marLeft w:val="0"/>
      <w:marRight w:val="0"/>
      <w:marTop w:val="0"/>
      <w:marBottom w:val="0"/>
      <w:divBdr>
        <w:top w:val="none" w:sz="0" w:space="0" w:color="auto"/>
        <w:left w:val="none" w:sz="0" w:space="0" w:color="auto"/>
        <w:bottom w:val="none" w:sz="0" w:space="0" w:color="auto"/>
        <w:right w:val="none" w:sz="0" w:space="0" w:color="auto"/>
      </w:divBdr>
    </w:div>
    <w:div w:id="578100843">
      <w:bodyDiv w:val="1"/>
      <w:marLeft w:val="0"/>
      <w:marRight w:val="0"/>
      <w:marTop w:val="0"/>
      <w:marBottom w:val="0"/>
      <w:divBdr>
        <w:top w:val="none" w:sz="0" w:space="0" w:color="auto"/>
        <w:left w:val="none" w:sz="0" w:space="0" w:color="auto"/>
        <w:bottom w:val="none" w:sz="0" w:space="0" w:color="auto"/>
        <w:right w:val="none" w:sz="0" w:space="0" w:color="auto"/>
      </w:divBdr>
    </w:div>
    <w:div w:id="869953270">
      <w:bodyDiv w:val="1"/>
      <w:marLeft w:val="0"/>
      <w:marRight w:val="0"/>
      <w:marTop w:val="0"/>
      <w:marBottom w:val="0"/>
      <w:divBdr>
        <w:top w:val="none" w:sz="0" w:space="0" w:color="auto"/>
        <w:left w:val="none" w:sz="0" w:space="0" w:color="auto"/>
        <w:bottom w:val="none" w:sz="0" w:space="0" w:color="auto"/>
        <w:right w:val="none" w:sz="0" w:space="0" w:color="auto"/>
      </w:divBdr>
    </w:div>
    <w:div w:id="1478185807">
      <w:bodyDiv w:val="1"/>
      <w:marLeft w:val="0"/>
      <w:marRight w:val="0"/>
      <w:marTop w:val="0"/>
      <w:marBottom w:val="0"/>
      <w:divBdr>
        <w:top w:val="none" w:sz="0" w:space="0" w:color="auto"/>
        <w:left w:val="none" w:sz="0" w:space="0" w:color="auto"/>
        <w:bottom w:val="none" w:sz="0" w:space="0" w:color="auto"/>
        <w:right w:val="none" w:sz="0" w:space="0" w:color="auto"/>
      </w:divBdr>
    </w:div>
    <w:div w:id="1530293295">
      <w:bodyDiv w:val="1"/>
      <w:marLeft w:val="0"/>
      <w:marRight w:val="0"/>
      <w:marTop w:val="0"/>
      <w:marBottom w:val="0"/>
      <w:divBdr>
        <w:top w:val="none" w:sz="0" w:space="0" w:color="auto"/>
        <w:left w:val="none" w:sz="0" w:space="0" w:color="auto"/>
        <w:bottom w:val="none" w:sz="0" w:space="0" w:color="auto"/>
        <w:right w:val="none" w:sz="0" w:space="0" w:color="auto"/>
      </w:divBdr>
    </w:div>
    <w:div w:id="1820003204">
      <w:bodyDiv w:val="1"/>
      <w:marLeft w:val="0"/>
      <w:marRight w:val="0"/>
      <w:marTop w:val="0"/>
      <w:marBottom w:val="0"/>
      <w:divBdr>
        <w:top w:val="none" w:sz="0" w:space="0" w:color="auto"/>
        <w:left w:val="none" w:sz="0" w:space="0" w:color="auto"/>
        <w:bottom w:val="none" w:sz="0" w:space="0" w:color="auto"/>
        <w:right w:val="none" w:sz="0" w:space="0" w:color="auto"/>
      </w:divBdr>
    </w:div>
    <w:div w:id="1866289578">
      <w:bodyDiv w:val="1"/>
      <w:marLeft w:val="0"/>
      <w:marRight w:val="0"/>
      <w:marTop w:val="0"/>
      <w:marBottom w:val="0"/>
      <w:divBdr>
        <w:top w:val="none" w:sz="0" w:space="0" w:color="auto"/>
        <w:left w:val="none" w:sz="0" w:space="0" w:color="auto"/>
        <w:bottom w:val="none" w:sz="0" w:space="0" w:color="auto"/>
        <w:right w:val="none" w:sz="0" w:space="0" w:color="auto"/>
      </w:divBdr>
    </w:div>
    <w:div w:id="1901476644">
      <w:bodyDiv w:val="1"/>
      <w:marLeft w:val="0"/>
      <w:marRight w:val="0"/>
      <w:marTop w:val="0"/>
      <w:marBottom w:val="0"/>
      <w:divBdr>
        <w:top w:val="none" w:sz="0" w:space="0" w:color="auto"/>
        <w:left w:val="none" w:sz="0" w:space="0" w:color="auto"/>
        <w:bottom w:val="none" w:sz="0" w:space="0" w:color="auto"/>
        <w:right w:val="none" w:sz="0" w:space="0" w:color="auto"/>
      </w:divBdr>
    </w:div>
    <w:div w:id="1917351214">
      <w:bodyDiv w:val="1"/>
      <w:marLeft w:val="0"/>
      <w:marRight w:val="0"/>
      <w:marTop w:val="0"/>
      <w:marBottom w:val="0"/>
      <w:divBdr>
        <w:top w:val="none" w:sz="0" w:space="0" w:color="auto"/>
        <w:left w:val="none" w:sz="0" w:space="0" w:color="auto"/>
        <w:bottom w:val="none" w:sz="0" w:space="0" w:color="auto"/>
        <w:right w:val="none" w:sz="0" w:space="0" w:color="auto"/>
      </w:divBdr>
    </w:div>
    <w:div w:id="20787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grossi@india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1B6D-57D6-469D-938E-90EDF24A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DESOS 2019 Report</dc:title>
  <dc:subject/>
  <dc:creator>Indiana Institute on Disability and Community</dc:creator>
  <cp:keywords/>
  <dc:description/>
  <cp:lastModifiedBy>Day, Orion Samuel</cp:lastModifiedBy>
  <cp:revision>4</cp:revision>
  <cp:lastPrinted>2020-04-30T15:02:00Z</cp:lastPrinted>
  <dcterms:created xsi:type="dcterms:W3CDTF">2020-04-30T15:01:00Z</dcterms:created>
  <dcterms:modified xsi:type="dcterms:W3CDTF">2020-04-30T15:07:00Z</dcterms:modified>
</cp:coreProperties>
</file>